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A6" w:rsidRDefault="00495CA6" w:rsidP="00495CA6">
      <w:pPr>
        <w:pStyle w:val="Nagwek20"/>
        <w:keepNext/>
        <w:keepLines/>
        <w:spacing w:after="0"/>
        <w:rPr>
          <w:rStyle w:val="Nagwek4"/>
          <w:b/>
          <w:bCs/>
        </w:rPr>
      </w:pPr>
      <w:bookmarkStart w:id="0" w:name="bookmark2"/>
      <w:r>
        <w:rPr>
          <w:rStyle w:val="Nagwek4"/>
          <w:b/>
          <w:bCs/>
        </w:rPr>
        <w:t>OPIS PRZEDMIOTU ZAMÓWIENIA</w:t>
      </w:r>
    </w:p>
    <w:p w:rsidR="00495CA6" w:rsidRDefault="00495CA6" w:rsidP="00495CA6">
      <w:pPr>
        <w:pStyle w:val="Nagwek20"/>
        <w:keepNext/>
        <w:keepLines/>
        <w:spacing w:after="0"/>
        <w:rPr>
          <w:rStyle w:val="Nagwek4"/>
          <w:b/>
          <w:bCs/>
        </w:rPr>
      </w:pPr>
      <w:bookmarkStart w:id="1" w:name="_GoBack"/>
      <w:bookmarkEnd w:id="1"/>
    </w:p>
    <w:p w:rsidR="00495CA6" w:rsidRDefault="00495CA6" w:rsidP="00972BF7">
      <w:pPr>
        <w:pStyle w:val="Nagwek20"/>
        <w:keepNext/>
        <w:keepLines/>
        <w:spacing w:after="0"/>
        <w:jc w:val="left"/>
        <w:rPr>
          <w:rStyle w:val="Nagwek4"/>
          <w:b/>
          <w:bCs/>
        </w:rPr>
      </w:pPr>
      <w:r>
        <w:rPr>
          <w:rStyle w:val="Nagwek4"/>
          <w:b/>
          <w:bCs/>
        </w:rPr>
        <w:t>DEPOZYTOR SAIK CAR 24 SKRYTKI NA KONTROLKI I KLUCZE</w:t>
      </w:r>
    </w:p>
    <w:p w:rsidR="002A78D1" w:rsidRDefault="00972BF7" w:rsidP="00972BF7">
      <w:pPr>
        <w:pStyle w:val="Nagwek20"/>
        <w:keepNext/>
        <w:keepLines/>
        <w:spacing w:after="0"/>
        <w:jc w:val="left"/>
      </w:pPr>
      <w:r>
        <w:rPr>
          <w:rStyle w:val="Nagwek4"/>
          <w:b/>
          <w:bCs/>
        </w:rPr>
        <w:t>Wykonanie urządzenia</w:t>
      </w:r>
      <w:bookmarkEnd w:id="0"/>
    </w:p>
    <w:p w:rsidR="002A78D1" w:rsidRDefault="00972BF7" w:rsidP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Sprzęt nowy, z bieżącego roku produkcyjnego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Obudowa stalowa, odporna na pył IP50, montaż naścienny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Kolor szary-stalowy (RAL 7037)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 xml:space="preserve">Syrena alarmowa min. 120 </w:t>
      </w:r>
      <w:proofErr w:type="spellStart"/>
      <w:r>
        <w:rPr>
          <w:rStyle w:val="Teksttreci"/>
        </w:rPr>
        <w:t>dB</w:t>
      </w:r>
      <w:proofErr w:type="spellEnd"/>
      <w:r>
        <w:rPr>
          <w:rStyle w:val="Teksttreci"/>
        </w:rPr>
        <w:t>, antysabotażowa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Sterowanie przez ekran dotykowy 7 cali, orientacja pionowa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Czytnik kart zbliżeniowych wykorzystujący istniejące karty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 xml:space="preserve">Komputer przemysłowy wbudowany, procesor min. 1.7 </w:t>
      </w:r>
      <w:proofErr w:type="spellStart"/>
      <w:r>
        <w:rPr>
          <w:rStyle w:val="Teksttreci"/>
        </w:rPr>
        <w:t>Ghz</w:t>
      </w:r>
      <w:proofErr w:type="spellEnd"/>
      <w:r>
        <w:rPr>
          <w:rStyle w:val="Teksttreci"/>
        </w:rPr>
        <w:t>, czterordzeniowy typu ARM,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Pamięć nieulotna, przechowanie co najmniej 1 min zdarzeń (pobrań, alarmów itp.) przez min. 10 lat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System operacyjny wbudowany na prawach licencji wolnego oprogramowania (niewymagana licencja)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Zasilanie awaryjne zintegrowane min. 72 godzin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Monitoring stanu i stanu pojemności akumulatorów z poziomu oprogramowania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Bezpieczeństwo pożarowe- panel nadzorczy opiniowany przez CNBOP-PIB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  <w:spacing w:after="220"/>
      </w:pPr>
      <w:r>
        <w:rPr>
          <w:rStyle w:val="Teksttreci"/>
        </w:rPr>
        <w:t>Awaryjny dostęp za pomocą kluczy patentowych</w:t>
      </w:r>
    </w:p>
    <w:p w:rsidR="002A78D1" w:rsidRDefault="00972BF7">
      <w:pPr>
        <w:pStyle w:val="Nagwek40"/>
        <w:keepNext/>
        <w:keepLines/>
      </w:pPr>
      <w:bookmarkStart w:id="2" w:name="bookmark4"/>
      <w:r>
        <w:rPr>
          <w:rStyle w:val="Nagwek4"/>
          <w:b/>
          <w:bCs/>
        </w:rPr>
        <w:t>Zasady działania</w:t>
      </w:r>
      <w:bookmarkEnd w:id="2"/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Użytkownik może pobrać tylko przypisane klucze\przedmioty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Klucz\przedmiot można przypisać wielu użytkownikom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 xml:space="preserve">Użytkownik po autoryzacji za pomocą karty lub\i </w:t>
      </w:r>
      <w:proofErr w:type="spellStart"/>
      <w:r>
        <w:rPr>
          <w:rStyle w:val="Teksttreci"/>
        </w:rPr>
        <w:t>pinu</w:t>
      </w:r>
      <w:proofErr w:type="spellEnd"/>
      <w:r>
        <w:rPr>
          <w:rStyle w:val="Teksttreci"/>
        </w:rPr>
        <w:t xml:space="preserve"> może pobrać tylko swoje klucze\przedmioty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Po wybraniu klucza\przedmiotu podświetlane jest jego miejsce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Zwrot klucza\przedmiotu do dowolnego miejsca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W przypadku braku klucza\przedmiotu na wyświetlaczu informacja kto i kiedy pobrał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  <w:spacing w:after="220"/>
      </w:pPr>
      <w:r>
        <w:rPr>
          <w:rStyle w:val="Teksttreci"/>
        </w:rPr>
        <w:t>Komunikaty głosowe, przypisane do użytkownika (POL, ANG, FRA, NIE, UKR, ROS, ARAB i inne)</w:t>
      </w:r>
    </w:p>
    <w:p w:rsidR="002A78D1" w:rsidRDefault="00972BF7">
      <w:pPr>
        <w:pStyle w:val="Nagwek40"/>
        <w:keepNext/>
        <w:keepLines/>
      </w:pPr>
      <w:bookmarkStart w:id="3" w:name="bookmark6"/>
      <w:r>
        <w:rPr>
          <w:rStyle w:val="Nagwek4"/>
          <w:b/>
          <w:bCs/>
        </w:rPr>
        <w:t>Przechowywanie w oparciu o bolce na klucze</w:t>
      </w:r>
      <w:bookmarkEnd w:id="3"/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Kontrolki i klucze umieszczone za blokowanymi i automatycznie uchylanymi drzwiczkami skrytek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Komplet kontrolek w ilości takiej, jak skrytki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Kontrolki uszyte ze skóry elektronicznej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Sposób włożenia kontrolki zawsze gwarantuje ich rozpoznanie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Klucze umieszczone na bolcach na klucze (stal nierdzewna o zwiększonej odporności na uszkodzenia)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Bolce po włożeniu do urządzenia są automatycznie blokowane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Bolce o IP66\IP67, odporne na deszcz, przypadkowe zanurzenie w wodzie, pyłoszczelne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Bolec odporne na zakłócenia, rozpoznawane poprzez odczytanie indywidualnego kodu w otworze poprzez styk bolca z czytnikiem stykowym (</w:t>
      </w:r>
      <w:proofErr w:type="spellStart"/>
      <w:r>
        <w:rPr>
          <w:rStyle w:val="Teksttreci"/>
        </w:rPr>
        <w:t>nieradiowe</w:t>
      </w:r>
      <w:proofErr w:type="spellEnd"/>
      <w:r>
        <w:rPr>
          <w:rStyle w:val="Teksttreci"/>
        </w:rPr>
        <w:t>, bez potrzeby konserwacji)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Nowe bolce muszą pasować do już użytkowanych urządzeń do przechowywania kluczy SAIK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Dopięcie kluczy do bolców za pomocą zatrzasku z numerem seryjnym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Zatrzask wykonany w 100% ze stali nierdzewnej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Brak możliwości ściągnięcia kluczy z bolca na klucze bez zniszczenia zatrzaską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Zakładanie kluczy na bolec na klucze i zatrzask nie wymaga narzędzi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Możliwość ponownego wykorzystania bolca na klucze z nowym zatrzaskiem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Przy każdej skrytce znajduje się wielokolorowa sygnalizacja: kolor zielony - klucz dostępny, kolor czerwony - klucz niedostępny, kolor żółty - stan ostrzegawczy (np. bolec z innego urządzenia, bolec zarezerwowany)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  <w:spacing w:after="220"/>
      </w:pPr>
      <w:r>
        <w:rPr>
          <w:rStyle w:val="Teksttreci"/>
        </w:rPr>
        <w:t>Możliwość zwrotu bolca i kontrolki na dwa sposoby: do dowolnej skrytki lub tylko do dedykowanego miejsca (zachowana kolejność kluczy bez możliwości fizycznego włożenia bolca do otworu bez wcześniejszego wyboru zwracanego klucza) - wybór na etapie dostawy lub użytkowania</w:t>
      </w:r>
    </w:p>
    <w:p w:rsidR="002A78D1" w:rsidRDefault="00972BF7">
      <w:pPr>
        <w:pStyle w:val="Nagwek40"/>
        <w:keepNext/>
        <w:keepLines/>
      </w:pPr>
      <w:bookmarkStart w:id="4" w:name="bookmark8"/>
      <w:r>
        <w:rPr>
          <w:rStyle w:val="Nagwek4"/>
          <w:b/>
          <w:bCs/>
        </w:rPr>
        <w:t>Cechy</w:t>
      </w:r>
      <w:bookmarkEnd w:id="4"/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Możliwość wpięcia do sieci lokalnej i zarządzania zdalnego lub pracy jako urządzenie autonomiczne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Pełna współpraca z posiadanymi urządzeniami (wymienność bolców, pełne zarządzanie dostępami)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Możliwość późniejszej rozbudowy o kolejne elementy (miejsca na klucze/przedmioty)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Realizacja gwarancja na miejscu, czas przyjazdu serwisu do 24 godzin w dni robocze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Dożywotnie wsparcie serwisowe zdalne, deklarowana dostępność części przez producenta min. 12 lat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Przeglądy gwarancyjne niewymagane</w:t>
      </w:r>
    </w:p>
    <w:p w:rsidR="002A78D1" w:rsidRDefault="00972BF7" w:rsidP="00F12542">
      <w:pPr>
        <w:pStyle w:val="Teksttreci0"/>
        <w:numPr>
          <w:ilvl w:val="0"/>
          <w:numId w:val="1"/>
        </w:numPr>
        <w:tabs>
          <w:tab w:val="left" w:pos="243"/>
        </w:tabs>
        <w:rPr>
          <w:rStyle w:val="Teksttreci"/>
        </w:rPr>
      </w:pPr>
      <w:r>
        <w:rPr>
          <w:rStyle w:val="Teksttreci"/>
        </w:rPr>
        <w:t>Odblokowanie awaryjne wszystkich kluczy poprzez sygnał zewnętrzny np. z centrali ppoż.</w:t>
      </w:r>
    </w:p>
    <w:p w:rsidR="00F12542" w:rsidRDefault="00F12542" w:rsidP="00F12542">
      <w:pPr>
        <w:pStyle w:val="Teksttreci0"/>
        <w:tabs>
          <w:tab w:val="left" w:pos="243"/>
        </w:tabs>
      </w:pPr>
    </w:p>
    <w:p w:rsidR="00F12542" w:rsidRDefault="00F12542" w:rsidP="00F12542">
      <w:pPr>
        <w:pStyle w:val="Teksttreci0"/>
        <w:tabs>
          <w:tab w:val="left" w:pos="243"/>
        </w:tabs>
        <w:sectPr w:rsidR="00F12542">
          <w:footerReference w:type="default" r:id="rId7"/>
          <w:pgSz w:w="11900" w:h="16840"/>
          <w:pgMar w:top="1986" w:right="1663" w:bottom="1325" w:left="1553" w:header="1558" w:footer="3" w:gutter="0"/>
          <w:pgNumType w:start="3"/>
          <w:cols w:space="720"/>
          <w:noEndnote/>
          <w:docGrid w:linePitch="360"/>
        </w:sectPr>
      </w:pPr>
    </w:p>
    <w:p w:rsidR="002A78D1" w:rsidRDefault="00972BF7" w:rsidP="00F12542">
      <w:pPr>
        <w:pStyle w:val="Teksttreci0"/>
        <w:numPr>
          <w:ilvl w:val="0"/>
          <w:numId w:val="1"/>
        </w:numPr>
        <w:tabs>
          <w:tab w:val="left" w:pos="258"/>
        </w:tabs>
        <w:ind w:left="142"/>
      </w:pPr>
      <w:r>
        <w:rPr>
          <w:rStyle w:val="Teksttreci"/>
        </w:rPr>
        <w:lastRenderedPageBreak/>
        <w:t>Możliwość uzbrajania alarmu po oddaniu ostatniego klucza</w:t>
      </w:r>
    </w:p>
    <w:p w:rsidR="002A78D1" w:rsidRDefault="00972BF7" w:rsidP="00F12542">
      <w:pPr>
        <w:pStyle w:val="Teksttreci0"/>
        <w:numPr>
          <w:ilvl w:val="0"/>
          <w:numId w:val="1"/>
        </w:numPr>
        <w:tabs>
          <w:tab w:val="left" w:pos="253"/>
        </w:tabs>
        <w:ind w:left="142"/>
      </w:pPr>
      <w:r>
        <w:rPr>
          <w:rStyle w:val="Teksttreci"/>
        </w:rPr>
        <w:t>Wbudowana Rejestracja Czasu Pracy - możliwość korzystania nawet bez posiadania uprawnień do kluczy</w:t>
      </w:r>
    </w:p>
    <w:p w:rsidR="002A78D1" w:rsidRDefault="00972BF7" w:rsidP="00F12542">
      <w:pPr>
        <w:pStyle w:val="Teksttreci0"/>
        <w:numPr>
          <w:ilvl w:val="0"/>
          <w:numId w:val="1"/>
        </w:numPr>
        <w:tabs>
          <w:tab w:val="left" w:pos="248"/>
        </w:tabs>
        <w:ind w:left="142"/>
      </w:pPr>
      <w:r>
        <w:rPr>
          <w:rStyle w:val="Teksttreci"/>
        </w:rPr>
        <w:t>Maksymalne zużycie prądu 15W - w zwykłym trybie pracy</w:t>
      </w:r>
    </w:p>
    <w:p w:rsidR="002A78D1" w:rsidRDefault="00972BF7">
      <w:pPr>
        <w:pStyle w:val="Nagwek40"/>
        <w:keepNext/>
        <w:keepLines/>
      </w:pPr>
      <w:bookmarkStart w:id="5" w:name="bookmark12"/>
      <w:r>
        <w:rPr>
          <w:rStyle w:val="Nagwek4"/>
          <w:b/>
          <w:bCs/>
        </w:rPr>
        <w:t>Oprogramowanie</w:t>
      </w:r>
      <w:bookmarkEnd w:id="5"/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Dedykowana aplikacja do zarządzania w polskiej i angielskiej wersji językowej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8"/>
        </w:tabs>
      </w:pPr>
      <w:r>
        <w:rPr>
          <w:rStyle w:val="Teksttreci"/>
        </w:rPr>
        <w:t>Równoważne oprogramowanie WEB, zarządzanie poprzez przeglądarkę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Możliwość ograniczonego zarządzania z poziomu ekranu dotykowego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Licencja nieograniczona czasowo, nieograniczona liczbą stanowisk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Plik instalacyjny umożliwiający zainstalowanie aplikacji na komputerze wyposażonym w Windows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Pełne zarządzanie już istniejącymi urządzeniami do przechowywania kluczy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Wielopoziomowy system uprawnień dostępu z uwzględnieniem harmonogramu czasowego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Rezerwacja kluczy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Przegląd historii zdarzeń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Monitorowanie i automatyczne powiadamiania o stanach alarmowych na stanowisko nadzorcy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Zdalne otwarcie drzwi i zdalne zwolnienie klucza\otwarcie skrytki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Możliwość ograniczenia kluczy jednocześnie pobranych przez użytkownika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Możliwość eksportu zdarzeń (</w:t>
      </w:r>
      <w:proofErr w:type="spellStart"/>
      <w:r>
        <w:rPr>
          <w:rStyle w:val="Teksttreci"/>
        </w:rPr>
        <w:t>csv</w:t>
      </w:r>
      <w:proofErr w:type="spellEnd"/>
      <w:r>
        <w:rPr>
          <w:rStyle w:val="Teksttreci"/>
        </w:rPr>
        <w:t xml:space="preserve">, pdf, </w:t>
      </w:r>
      <w:proofErr w:type="spellStart"/>
      <w:r>
        <w:rPr>
          <w:rStyle w:val="Teksttreci"/>
        </w:rPr>
        <w:t>xml</w:t>
      </w:r>
      <w:proofErr w:type="spellEnd"/>
      <w:r>
        <w:rPr>
          <w:rStyle w:val="Teksttreci"/>
        </w:rPr>
        <w:t>).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Możliwość tworzenia wspólnych raportów dla wszystkich już posiadanych urządzeń.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>Możliwość tworzenia automatycznych kopii zapasowych.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Komunikacja urządzenie-czytniki przy pomocy protokołu OSDPv2.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</w:rPr>
        <w:t xml:space="preserve">Komunikacja urządzenie-serwer-aplikacje protokołem TLSvl.3/RSA2048 biblioteki </w:t>
      </w:r>
      <w:proofErr w:type="spellStart"/>
      <w:r>
        <w:rPr>
          <w:rStyle w:val="Teksttreci"/>
        </w:rPr>
        <w:t>OpenSSL</w:t>
      </w:r>
      <w:proofErr w:type="spellEnd"/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Zapewnia szyfrowanie połączenia z aplikacją web poprzez TLSvl.3/RSA2048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Współpraca z posiadanym systemem do wydawania kluczy, pełna obsługa z aplikacji posiadanych urządzeń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  <w:spacing w:after="220"/>
      </w:pPr>
      <w:r>
        <w:rPr>
          <w:rStyle w:val="Teksttreci"/>
        </w:rPr>
        <w:t>Możliwość integracji z innymi systemami kontroli dostępu, wizualizacji, BMS</w:t>
      </w:r>
    </w:p>
    <w:p w:rsidR="002A78D1" w:rsidRDefault="00972BF7">
      <w:pPr>
        <w:pStyle w:val="Nagwek40"/>
        <w:keepNext/>
        <w:keepLines/>
      </w:pPr>
      <w:bookmarkStart w:id="6" w:name="bookmark14"/>
      <w:r>
        <w:rPr>
          <w:rStyle w:val="Nagwek4"/>
          <w:b/>
          <w:bCs/>
        </w:rPr>
        <w:t xml:space="preserve">Zaświadczenia potwierdzające jakość, wystawione przez niezależny podmiot uprawniony do kontroli jakości, wymagane </w:t>
      </w:r>
      <w:r>
        <w:rPr>
          <w:rStyle w:val="Nagwek4"/>
          <w:b/>
          <w:bCs/>
          <w:u w:val="single"/>
        </w:rPr>
        <w:t>na etapie składania oferty</w:t>
      </w:r>
      <w:bookmarkEnd w:id="6"/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dokument stopnia ochrony IP 50 lub wyższy dla pyłoszczelność obudowy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 xml:space="preserve">dokument stopnia ochrony IP X6, IP X7 oraz IP 5X lub wyższy </w:t>
      </w:r>
      <w:proofErr w:type="spellStart"/>
      <w:r>
        <w:rPr>
          <w:rStyle w:val="Teksttreci"/>
        </w:rPr>
        <w:t>pyło</w:t>
      </w:r>
      <w:proofErr w:type="spellEnd"/>
      <w:r>
        <w:rPr>
          <w:rStyle w:val="Teksttreci"/>
        </w:rPr>
        <w:t xml:space="preserve">- i </w:t>
      </w:r>
      <w:proofErr w:type="spellStart"/>
      <w:r>
        <w:rPr>
          <w:rStyle w:val="Teksttreci"/>
        </w:rPr>
        <w:t>wodnoszczelności</w:t>
      </w:r>
      <w:proofErr w:type="spellEnd"/>
      <w:r>
        <w:rPr>
          <w:rStyle w:val="Teksttreci"/>
        </w:rPr>
        <w:t xml:space="preserve"> bolców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opinia pożarowa CNBOP-PIB, potwierdzająca bezpieczeństwie elementów elektronicznych panelu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certyfikat 15027001 potwierdzający zarządzanie bezpieczeństwem informacji przez producenta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</w:rPr>
        <w:t>certyfikat 15027001 potwierdzający zarządzanie bezpieczeństwem informacji dla dostawcy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certyfikat bezpieczeństwa dla wkładek serwisowych w min. klasie 6 wg EN 1303-2015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  <w:spacing w:after="220"/>
      </w:pPr>
      <w:r>
        <w:rPr>
          <w:rStyle w:val="Teksttreci"/>
          <w:i/>
          <w:iCs/>
          <w:color w:val="414141"/>
        </w:rPr>
        <w:t>dokument normy PN-EN 1627:2012 dla klasy RC2 lub wyższej dla panelu kontrolnego (jeśli dotyczy)</w:t>
      </w:r>
    </w:p>
    <w:p w:rsidR="002A78D1" w:rsidRDefault="00972BF7">
      <w:pPr>
        <w:pStyle w:val="Nagwek40"/>
        <w:keepNext/>
        <w:keepLines/>
      </w:pPr>
      <w:bookmarkStart w:id="7" w:name="bookmark16"/>
      <w:r>
        <w:rPr>
          <w:rStyle w:val="Nagwek4"/>
          <w:b/>
          <w:bCs/>
        </w:rPr>
        <w:t xml:space="preserve">Dokumenty </w:t>
      </w:r>
      <w:r>
        <w:rPr>
          <w:rStyle w:val="Nagwek4"/>
          <w:b/>
          <w:bCs/>
          <w:u w:val="single"/>
        </w:rPr>
        <w:t>wymagane na etapie odbioru</w:t>
      </w:r>
      <w:bookmarkEnd w:id="7"/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karta katalogowa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deklaracja CE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wyniki badania watomierzem urządzenia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</w:rPr>
        <w:t>deklaracja producenta o dostępności części min. 12 lat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  <w:spacing w:after="220"/>
      </w:pPr>
      <w:r>
        <w:rPr>
          <w:rStyle w:val="Teksttreci"/>
        </w:rPr>
        <w:t>deklaracja producenta o dożywotnim wsparciu zdalnym na terenie Polski</w:t>
      </w:r>
    </w:p>
    <w:p w:rsidR="002A78D1" w:rsidRDefault="00972BF7">
      <w:pPr>
        <w:pStyle w:val="Teksttreci0"/>
      </w:pPr>
      <w:r>
        <w:rPr>
          <w:rStyle w:val="Teksttreci"/>
          <w:i/>
          <w:iCs/>
          <w:color w:val="414141"/>
        </w:rPr>
        <w:t>Wybrane wyposażenie dodatkowe i opcje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  <w:i/>
          <w:iCs/>
          <w:color w:val="414141"/>
        </w:rPr>
        <w:t>Ochrona wbudowanej bazy danych (panel w klasie odporności na włamanie RC2)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3"/>
        </w:tabs>
      </w:pPr>
      <w:r>
        <w:rPr>
          <w:rStyle w:val="Teksttreci"/>
          <w:i/>
          <w:iCs/>
          <w:color w:val="414141"/>
        </w:rPr>
        <w:t>Dowolny kolor malowania (z palety RAL)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  <w:i/>
          <w:iCs/>
          <w:color w:val="414141"/>
        </w:rPr>
        <w:t>Szyba z wygrawerowanym logo (podświetlonym LED)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48"/>
        </w:tabs>
      </w:pPr>
      <w:r>
        <w:rPr>
          <w:rStyle w:val="Teksttreci"/>
          <w:i/>
          <w:iCs/>
          <w:color w:val="414141"/>
        </w:rPr>
        <w:t xml:space="preserve">Kamera </w:t>
      </w:r>
      <w:proofErr w:type="spellStart"/>
      <w:r>
        <w:rPr>
          <w:rStyle w:val="Teksttreci"/>
          <w:i/>
          <w:iCs/>
          <w:color w:val="414141"/>
        </w:rPr>
        <w:t>fotografujqc</w:t>
      </w:r>
      <w:proofErr w:type="spellEnd"/>
      <w:r>
        <w:rPr>
          <w:rStyle w:val="Teksttreci"/>
          <w:i/>
          <w:iCs/>
          <w:color w:val="414141"/>
        </w:rPr>
        <w:t xml:space="preserve"> (uruchamiana przy zalogowaniu i alarmach)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  <w:i/>
          <w:iCs/>
          <w:color w:val="414141"/>
        </w:rPr>
        <w:t>Wykonanie okablowanie (sieć logiczna i elektryczna)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  <w:i/>
          <w:iCs/>
          <w:color w:val="414141"/>
        </w:rPr>
        <w:t xml:space="preserve">Czytnik nietypowy (inny niż </w:t>
      </w:r>
      <w:proofErr w:type="spellStart"/>
      <w:r>
        <w:rPr>
          <w:rStyle w:val="Teksttreci"/>
          <w:i/>
          <w:iCs/>
          <w:color w:val="414141"/>
        </w:rPr>
        <w:t>mifare</w:t>
      </w:r>
      <w:proofErr w:type="spellEnd"/>
      <w:r>
        <w:rPr>
          <w:rStyle w:val="Teksttreci"/>
          <w:i/>
          <w:iCs/>
          <w:color w:val="414141"/>
        </w:rPr>
        <w:t>/</w:t>
      </w:r>
      <w:proofErr w:type="spellStart"/>
      <w:r>
        <w:rPr>
          <w:rStyle w:val="Teksttreci"/>
          <w:i/>
          <w:iCs/>
          <w:color w:val="414141"/>
        </w:rPr>
        <w:t>unique</w:t>
      </w:r>
      <w:proofErr w:type="spellEnd"/>
      <w:r>
        <w:rPr>
          <w:rStyle w:val="Teksttreci"/>
          <w:i/>
          <w:iCs/>
          <w:color w:val="414141"/>
        </w:rPr>
        <w:t>, kodowany)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</w:pPr>
      <w:r>
        <w:rPr>
          <w:rStyle w:val="Teksttreci"/>
          <w:i/>
          <w:iCs/>
          <w:color w:val="414141"/>
        </w:rPr>
        <w:t>Stelaż (wymagany do ścian karton-gips)</w:t>
      </w:r>
    </w:p>
    <w:p w:rsidR="002A78D1" w:rsidRDefault="00972BF7">
      <w:pPr>
        <w:pStyle w:val="Teksttreci0"/>
        <w:numPr>
          <w:ilvl w:val="0"/>
          <w:numId w:val="1"/>
        </w:numPr>
        <w:tabs>
          <w:tab w:val="left" w:pos="253"/>
        </w:tabs>
        <w:spacing w:after="1320"/>
      </w:pPr>
      <w:r>
        <w:rPr>
          <w:rStyle w:val="Teksttreci"/>
          <w:i/>
          <w:iCs/>
          <w:color w:val="414141"/>
        </w:rPr>
        <w:t>Ekran 10 cali (lub większy) i inne</w:t>
      </w:r>
    </w:p>
    <w:sectPr w:rsidR="002A78D1" w:rsidSect="00F12542">
      <w:type w:val="continuous"/>
      <w:pgSz w:w="11900" w:h="16840"/>
      <w:pgMar w:top="2259" w:right="1409" w:bottom="1372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CF8" w:rsidRDefault="00972BF7">
      <w:r>
        <w:separator/>
      </w:r>
    </w:p>
  </w:endnote>
  <w:endnote w:type="continuationSeparator" w:id="0">
    <w:p w:rsidR="00FF5CF8" w:rsidRDefault="009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D1" w:rsidRDefault="002A78D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D1" w:rsidRDefault="002A78D1"/>
  </w:footnote>
  <w:footnote w:type="continuationSeparator" w:id="0">
    <w:p w:rsidR="002A78D1" w:rsidRDefault="002A78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94C83"/>
    <w:multiLevelType w:val="multilevel"/>
    <w:tmpl w:val="E34A419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555555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D1"/>
    <w:rsid w:val="002A78D1"/>
    <w:rsid w:val="00495CA6"/>
    <w:rsid w:val="00972BF7"/>
    <w:rsid w:val="00F1254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9A394"/>
  <w15:docId w15:val="{9D7AD4B2-BD38-4F3D-9559-12BB398B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color w:val="222222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color w:val="222222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2222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747573"/>
      <w:sz w:val="48"/>
      <w:szCs w:val="4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sz w:val="10"/>
      <w:szCs w:val="1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color w:val="222222"/>
      <w:sz w:val="30"/>
      <w:szCs w:val="3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color w:val="414141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414141"/>
      <w:sz w:val="19"/>
      <w:szCs w:val="19"/>
      <w:u w:val="single"/>
      <w:lang w:val="en-US" w:eastAsia="en-US" w:bidi="en-US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color w:val="414141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2222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color w:val="555555"/>
      <w:sz w:val="8"/>
      <w:szCs w:val="8"/>
      <w:u w:val="none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color w:val="222222"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pPr>
      <w:outlineLvl w:val="3"/>
    </w:pPr>
    <w:rPr>
      <w:rFonts w:ascii="Calibri" w:eastAsia="Calibri" w:hAnsi="Calibri" w:cs="Calibri"/>
      <w:b/>
      <w:bCs/>
      <w:color w:val="222222"/>
      <w:sz w:val="19"/>
      <w:szCs w:val="19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color w:val="222222"/>
      <w:sz w:val="19"/>
      <w:szCs w:val="19"/>
    </w:rPr>
  </w:style>
  <w:style w:type="paragraph" w:customStyle="1" w:styleId="Nagwek10">
    <w:name w:val="Nagłówek #1"/>
    <w:basedOn w:val="Normalny"/>
    <w:link w:val="Nagwek1"/>
    <w:pPr>
      <w:spacing w:after="80"/>
      <w:jc w:val="center"/>
      <w:outlineLvl w:val="0"/>
    </w:pPr>
    <w:rPr>
      <w:rFonts w:ascii="Arial" w:eastAsia="Arial" w:hAnsi="Arial" w:cs="Arial"/>
      <w:b/>
      <w:bCs/>
      <w:color w:val="747573"/>
      <w:sz w:val="48"/>
      <w:szCs w:val="48"/>
    </w:rPr>
  </w:style>
  <w:style w:type="paragraph" w:customStyle="1" w:styleId="Teksttreci20">
    <w:name w:val="Tekst treści (2)"/>
    <w:basedOn w:val="Normalny"/>
    <w:link w:val="Teksttreci2"/>
    <w:pPr>
      <w:spacing w:after="80"/>
      <w:ind w:firstLine="210"/>
      <w:jc w:val="center"/>
    </w:pPr>
    <w:rPr>
      <w:rFonts w:ascii="Arial" w:eastAsia="Arial" w:hAnsi="Arial" w:cs="Arial"/>
      <w:color w:val="222222"/>
      <w:sz w:val="10"/>
      <w:szCs w:val="10"/>
    </w:rPr>
  </w:style>
  <w:style w:type="paragraph" w:customStyle="1" w:styleId="Teksttreci40">
    <w:name w:val="Tekst treści (4)"/>
    <w:basedOn w:val="Normalny"/>
    <w:link w:val="Teksttreci4"/>
    <w:pPr>
      <w:spacing w:before="120" w:after="1120"/>
      <w:jc w:val="center"/>
    </w:pPr>
    <w:rPr>
      <w:rFonts w:ascii="Calibri" w:eastAsia="Calibri" w:hAnsi="Calibri" w:cs="Calibri"/>
      <w:b/>
      <w:bCs/>
      <w:color w:val="222222"/>
      <w:sz w:val="30"/>
      <w:szCs w:val="30"/>
    </w:rPr>
  </w:style>
  <w:style w:type="paragraph" w:customStyle="1" w:styleId="Teksttreci50">
    <w:name w:val="Tekst treści (5)"/>
    <w:basedOn w:val="Normalny"/>
    <w:link w:val="Teksttreci5"/>
    <w:pPr>
      <w:spacing w:after="40"/>
      <w:jc w:val="center"/>
    </w:pPr>
    <w:rPr>
      <w:rFonts w:ascii="Arial" w:eastAsia="Arial" w:hAnsi="Arial" w:cs="Arial"/>
      <w:b/>
      <w:bCs/>
      <w:color w:val="414141"/>
      <w:sz w:val="36"/>
      <w:szCs w:val="36"/>
    </w:rPr>
  </w:style>
  <w:style w:type="paragraph" w:customStyle="1" w:styleId="Nagwek30">
    <w:name w:val="Nagłówek #3"/>
    <w:basedOn w:val="Normalny"/>
    <w:link w:val="Nagwek3"/>
    <w:pPr>
      <w:jc w:val="center"/>
      <w:outlineLvl w:val="2"/>
    </w:pPr>
    <w:rPr>
      <w:rFonts w:ascii="Calibri" w:eastAsia="Calibri" w:hAnsi="Calibri" w:cs="Calibri"/>
      <w:color w:val="222222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20"/>
      <w:jc w:val="center"/>
    </w:pPr>
    <w:rPr>
      <w:rFonts w:ascii="Arial" w:eastAsia="Arial" w:hAnsi="Arial" w:cs="Arial"/>
      <w:b/>
      <w:bCs/>
      <w:color w:val="414141"/>
      <w:sz w:val="19"/>
      <w:szCs w:val="19"/>
      <w:u w:val="single"/>
      <w:lang w:val="en-US" w:eastAsia="en-US" w:bidi="en-US"/>
    </w:rPr>
  </w:style>
  <w:style w:type="paragraph" w:customStyle="1" w:styleId="Podpistabeli0">
    <w:name w:val="Podpis tabeli"/>
    <w:basedOn w:val="Normalny"/>
    <w:link w:val="Podpistabeli"/>
    <w:pPr>
      <w:spacing w:line="228" w:lineRule="auto"/>
      <w:ind w:firstLine="130"/>
    </w:pPr>
    <w:rPr>
      <w:rFonts w:ascii="Arial" w:eastAsia="Arial" w:hAnsi="Arial" w:cs="Arial"/>
      <w:color w:val="414141"/>
      <w:sz w:val="13"/>
      <w:szCs w:val="13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color w:val="222222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ind w:left="2720"/>
    </w:pPr>
    <w:rPr>
      <w:rFonts w:ascii="Arial" w:eastAsia="Arial" w:hAnsi="Arial" w:cs="Arial"/>
      <w:color w:val="555555"/>
      <w:sz w:val="8"/>
      <w:szCs w:val="8"/>
    </w:rPr>
  </w:style>
  <w:style w:type="paragraph" w:styleId="Nagwek">
    <w:name w:val="header"/>
    <w:basedOn w:val="Normalny"/>
    <w:link w:val="NagwekZnak"/>
    <w:uiPriority w:val="99"/>
    <w:unhideWhenUsed/>
    <w:rsid w:val="00F12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4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2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Chojka</dc:creator>
  <cp:lastModifiedBy>Jolanta Chojka</cp:lastModifiedBy>
  <cp:revision>4</cp:revision>
  <dcterms:created xsi:type="dcterms:W3CDTF">2025-05-26T08:27:00Z</dcterms:created>
  <dcterms:modified xsi:type="dcterms:W3CDTF">2025-05-26T09:01:00Z</dcterms:modified>
</cp:coreProperties>
</file>