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1F155" w14:textId="1A07C353" w:rsidR="009E4F3D" w:rsidRPr="00E22D7B" w:rsidRDefault="005773F2" w:rsidP="00E22D7B">
      <w:pPr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 xml:space="preserve">Załącznik nr 1 do SWZ </w:t>
      </w:r>
    </w:p>
    <w:p w14:paraId="5DC99F51" w14:textId="5612000A" w:rsidR="009E4F3D" w:rsidRPr="00E22D7B" w:rsidRDefault="009E4F3D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>Oznaczenie sprawy: PN-</w:t>
      </w:r>
      <w:r w:rsidR="00874F79">
        <w:rPr>
          <w:rFonts w:cstheme="minorHAnsi"/>
          <w:b/>
          <w:sz w:val="18"/>
          <w:szCs w:val="18"/>
        </w:rPr>
        <w:t>8</w:t>
      </w:r>
      <w:r w:rsidR="00D96343">
        <w:rPr>
          <w:rFonts w:cstheme="minorHAnsi"/>
          <w:b/>
          <w:sz w:val="18"/>
          <w:szCs w:val="18"/>
        </w:rPr>
        <w:t>9</w:t>
      </w:r>
      <w:r w:rsidRPr="00E22D7B">
        <w:rPr>
          <w:rFonts w:cstheme="minorHAnsi"/>
          <w:b/>
          <w:sz w:val="18"/>
          <w:szCs w:val="18"/>
        </w:rPr>
        <w:t>/2</w:t>
      </w:r>
      <w:r w:rsidR="000017CB" w:rsidRPr="00E22D7B">
        <w:rPr>
          <w:rFonts w:cstheme="minorHAnsi"/>
          <w:b/>
          <w:sz w:val="18"/>
          <w:szCs w:val="18"/>
        </w:rPr>
        <w:t>4</w:t>
      </w:r>
    </w:p>
    <w:p w14:paraId="3363EB4C" w14:textId="77777777" w:rsidR="00E22D7B" w:rsidRDefault="00E22D7B" w:rsidP="00E22D7B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7BB3BE90" w14:textId="65AA903B" w:rsidR="00E22D7B" w:rsidRDefault="00D96343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>CZĘŚĆ NR 3</w:t>
      </w:r>
    </w:p>
    <w:p w14:paraId="157B97F0" w14:textId="5D3BACB3" w:rsidR="00932262" w:rsidRPr="00293492" w:rsidRDefault="0072272D" w:rsidP="00E22D7B">
      <w:pPr>
        <w:pStyle w:val="Tekstpodstawowy3"/>
        <w:ind w:left="284" w:hanging="284"/>
        <w:rPr>
          <w:rFonts w:asciiTheme="minorHAnsi" w:hAnsiTheme="minorHAnsi" w:cstheme="minorHAnsi"/>
          <w:b/>
          <w:sz w:val="18"/>
          <w:szCs w:val="18"/>
        </w:rPr>
      </w:pPr>
      <w:r w:rsidRPr="0072272D">
        <w:rPr>
          <w:rFonts w:asciiTheme="minorHAnsi" w:hAnsiTheme="minorHAnsi" w:cstheme="minorHAnsi"/>
          <w:b/>
          <w:sz w:val="18"/>
          <w:szCs w:val="18"/>
        </w:rPr>
        <w:t xml:space="preserve">DIATERMIA CHIRURGICZNA </w:t>
      </w:r>
      <w:r>
        <w:rPr>
          <w:rFonts w:asciiTheme="minorHAnsi" w:hAnsiTheme="minorHAnsi" w:cstheme="minorHAnsi"/>
          <w:b/>
          <w:sz w:val="18"/>
          <w:szCs w:val="18"/>
        </w:rPr>
        <w:t xml:space="preserve">– 1 </w:t>
      </w:r>
      <w:r w:rsidR="00874F79" w:rsidRPr="00293492">
        <w:rPr>
          <w:rFonts w:asciiTheme="minorHAnsi" w:hAnsiTheme="minorHAnsi" w:cstheme="minorHAnsi"/>
          <w:b/>
          <w:sz w:val="18"/>
          <w:szCs w:val="18"/>
        </w:rPr>
        <w:t>szt.</w:t>
      </w:r>
    </w:p>
    <w:tbl>
      <w:tblPr>
        <w:tblStyle w:val="Tabela-Siatka"/>
        <w:tblW w:w="1074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6881"/>
        <w:gridCol w:w="1482"/>
        <w:gridCol w:w="1531"/>
      </w:tblGrid>
      <w:tr w:rsidR="00E22D7B" w:rsidRPr="00293492" w14:paraId="59BCB1CD" w14:textId="77777777" w:rsidTr="00E22D7B">
        <w:trPr>
          <w:trHeight w:val="500"/>
        </w:trPr>
        <w:tc>
          <w:tcPr>
            <w:tcW w:w="7732" w:type="dxa"/>
            <w:gridSpan w:val="2"/>
          </w:tcPr>
          <w:p w14:paraId="7EAAED5A" w14:textId="363E360B" w:rsidR="00E22D7B" w:rsidRPr="00293492" w:rsidRDefault="00E22D7B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Producent, typ (model)</w:t>
            </w:r>
          </w:p>
        </w:tc>
        <w:tc>
          <w:tcPr>
            <w:tcW w:w="3013" w:type="dxa"/>
            <w:gridSpan w:val="2"/>
          </w:tcPr>
          <w:p w14:paraId="7E60918C" w14:textId="27A4C9C9" w:rsidR="00E22D7B" w:rsidRPr="00293492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E22D7B" w:rsidRPr="00293492" w14:paraId="5A602829" w14:textId="77777777" w:rsidTr="00E22D7B">
        <w:trPr>
          <w:trHeight w:val="407"/>
        </w:trPr>
        <w:tc>
          <w:tcPr>
            <w:tcW w:w="7732" w:type="dxa"/>
            <w:gridSpan w:val="2"/>
          </w:tcPr>
          <w:p w14:paraId="36FDEEBF" w14:textId="59A4CA29" w:rsidR="00E22D7B" w:rsidRPr="00293492" w:rsidRDefault="00E22D7B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Rok produkcji (nie wcześniej niż 202</w:t>
            </w:r>
            <w:r w:rsidR="00D96343">
              <w:rPr>
                <w:rFonts w:cstheme="minorHAnsi"/>
                <w:sz w:val="18"/>
                <w:szCs w:val="18"/>
              </w:rPr>
              <w:t>4</w:t>
            </w:r>
            <w:r w:rsidRPr="00293492">
              <w:rPr>
                <w:rFonts w:cstheme="minorHAnsi"/>
                <w:sz w:val="18"/>
                <w:szCs w:val="18"/>
              </w:rPr>
              <w:t>) nowy, nieużywany, niedemonstracyjny</w:t>
            </w:r>
          </w:p>
        </w:tc>
        <w:tc>
          <w:tcPr>
            <w:tcW w:w="3013" w:type="dxa"/>
            <w:gridSpan w:val="2"/>
          </w:tcPr>
          <w:p w14:paraId="46BCF718" w14:textId="6653EB20" w:rsidR="00E22D7B" w:rsidRPr="00293492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E22D7B" w:rsidRPr="00293492" w14:paraId="110C48CC" w14:textId="77777777" w:rsidTr="00E22D7B">
        <w:trPr>
          <w:trHeight w:val="428"/>
        </w:trPr>
        <w:tc>
          <w:tcPr>
            <w:tcW w:w="7732" w:type="dxa"/>
            <w:gridSpan w:val="2"/>
          </w:tcPr>
          <w:p w14:paraId="35F1A1EF" w14:textId="01DE5767" w:rsidR="00E22D7B" w:rsidRPr="00293492" w:rsidRDefault="00E22D7B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Cena jednostkowa (jeśli poszczególne moduły nie obejmują całego zamówienia, opisać)</w:t>
            </w:r>
          </w:p>
        </w:tc>
        <w:tc>
          <w:tcPr>
            <w:tcW w:w="3013" w:type="dxa"/>
            <w:gridSpan w:val="2"/>
          </w:tcPr>
          <w:p w14:paraId="11DE1D07" w14:textId="5CF5D3E2" w:rsidR="00E22D7B" w:rsidRPr="00293492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E22D7B" w:rsidRPr="00293492" w14:paraId="25B0A017" w14:textId="77777777" w:rsidTr="00E22D7B">
        <w:trPr>
          <w:trHeight w:val="406"/>
        </w:trPr>
        <w:tc>
          <w:tcPr>
            <w:tcW w:w="7732" w:type="dxa"/>
            <w:gridSpan w:val="2"/>
          </w:tcPr>
          <w:p w14:paraId="1F5176E1" w14:textId="2604C59A" w:rsidR="00E22D7B" w:rsidRPr="00293492" w:rsidRDefault="00E22D7B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Gwarancja minimum 24 miesiące</w:t>
            </w:r>
          </w:p>
        </w:tc>
        <w:tc>
          <w:tcPr>
            <w:tcW w:w="3013" w:type="dxa"/>
            <w:gridSpan w:val="2"/>
          </w:tcPr>
          <w:p w14:paraId="134A5521" w14:textId="3C702103" w:rsidR="00E22D7B" w:rsidRPr="00293492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E22D7B" w:rsidRPr="00293492" w14:paraId="4BB4F945" w14:textId="77777777" w:rsidTr="00E22D7B">
        <w:trPr>
          <w:trHeight w:val="426"/>
        </w:trPr>
        <w:tc>
          <w:tcPr>
            <w:tcW w:w="7732" w:type="dxa"/>
            <w:gridSpan w:val="2"/>
          </w:tcPr>
          <w:p w14:paraId="03FA68AD" w14:textId="238E94E1" w:rsidR="00E22D7B" w:rsidRPr="00293492" w:rsidRDefault="0072272D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Termin dostawy nie później niż</w:t>
            </w:r>
            <w:r>
              <w:rPr>
                <w:rFonts w:cstheme="minorHAnsi"/>
                <w:sz w:val="18"/>
                <w:szCs w:val="18"/>
              </w:rPr>
              <w:t xml:space="preserve"> do</w:t>
            </w:r>
            <w:r w:rsidRPr="0072272D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30</w:t>
            </w:r>
            <w:r w:rsidRPr="0072272D">
              <w:rPr>
                <w:rFonts w:cstheme="minorHAnsi"/>
                <w:sz w:val="18"/>
                <w:szCs w:val="18"/>
              </w:rPr>
              <w:t>.06.2025</w:t>
            </w:r>
            <w:r>
              <w:rPr>
                <w:rFonts w:cstheme="minorHAnsi"/>
                <w:sz w:val="18"/>
                <w:szCs w:val="18"/>
              </w:rPr>
              <w:t xml:space="preserve"> r.</w:t>
            </w:r>
          </w:p>
        </w:tc>
        <w:tc>
          <w:tcPr>
            <w:tcW w:w="3013" w:type="dxa"/>
            <w:gridSpan w:val="2"/>
          </w:tcPr>
          <w:p w14:paraId="388E71EA" w14:textId="34AF49A1" w:rsidR="00E22D7B" w:rsidRPr="00293492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Opisać</w:t>
            </w:r>
          </w:p>
        </w:tc>
      </w:tr>
      <w:tr w:rsidR="00932262" w:rsidRPr="00293492" w14:paraId="47FDBC1F" w14:textId="77777777" w:rsidTr="00622F7D">
        <w:trPr>
          <w:trHeight w:val="625"/>
        </w:trPr>
        <w:tc>
          <w:tcPr>
            <w:tcW w:w="851" w:type="dxa"/>
            <w:vAlign w:val="center"/>
          </w:tcPr>
          <w:p w14:paraId="78CBAF0B" w14:textId="77777777" w:rsidR="00932262" w:rsidRPr="00293492" w:rsidRDefault="00932262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6881" w:type="dxa"/>
          </w:tcPr>
          <w:p w14:paraId="3907372D" w14:textId="77777777" w:rsidR="00932262" w:rsidRPr="00293492" w:rsidRDefault="00932262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Opis wymagania</w:t>
            </w:r>
          </w:p>
        </w:tc>
        <w:tc>
          <w:tcPr>
            <w:tcW w:w="1482" w:type="dxa"/>
          </w:tcPr>
          <w:p w14:paraId="64DC8EB0" w14:textId="77777777" w:rsidR="00932262" w:rsidRPr="00293492" w:rsidRDefault="00932262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1531" w:type="dxa"/>
          </w:tcPr>
          <w:p w14:paraId="7C5AF1DE" w14:textId="77777777" w:rsidR="00932262" w:rsidRPr="00293492" w:rsidRDefault="00932262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Wartość deklarowana</w:t>
            </w:r>
          </w:p>
        </w:tc>
      </w:tr>
      <w:tr w:rsidR="00932262" w:rsidRPr="00293492" w14:paraId="27F12E9E" w14:textId="77777777" w:rsidTr="00622F7D">
        <w:trPr>
          <w:trHeight w:val="625"/>
        </w:trPr>
        <w:tc>
          <w:tcPr>
            <w:tcW w:w="10745" w:type="dxa"/>
            <w:gridSpan w:val="4"/>
            <w:vAlign w:val="center"/>
          </w:tcPr>
          <w:p w14:paraId="6C26CF72" w14:textId="6212BD79" w:rsidR="00932262" w:rsidRPr="00293492" w:rsidRDefault="0072272D" w:rsidP="00E22D7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eastAsia="Calibri" w:cstheme="minorHAnsi"/>
                <w:b/>
                <w:sz w:val="18"/>
                <w:szCs w:val="18"/>
              </w:rPr>
              <w:t>DIATERMIA CHIRURGICZNA – 1 szt.</w:t>
            </w:r>
          </w:p>
        </w:tc>
      </w:tr>
      <w:tr w:rsidR="0072272D" w:rsidRPr="00293492" w14:paraId="5FD786BE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6A9633F2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ind w:right="-108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F53AEDF" w14:textId="0D0F1739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color w:val="000000"/>
                <w:sz w:val="18"/>
                <w:szCs w:val="18"/>
              </w:rPr>
              <w:t>Napięcie zasilania 230V 50Hz</w:t>
            </w:r>
          </w:p>
        </w:tc>
        <w:tc>
          <w:tcPr>
            <w:tcW w:w="1482" w:type="dxa"/>
            <w:vAlign w:val="center"/>
          </w:tcPr>
          <w:p w14:paraId="68686053" w14:textId="16FA9BCF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7443CA7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33BE6896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6A590A14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4E4800C" w14:textId="27380D39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color w:val="000000"/>
                <w:sz w:val="18"/>
                <w:szCs w:val="18"/>
              </w:rPr>
              <w:t>Instrukcja papierowa i elektroniczna w języku polskim</w:t>
            </w:r>
          </w:p>
        </w:tc>
        <w:tc>
          <w:tcPr>
            <w:tcW w:w="1482" w:type="dxa"/>
            <w:vAlign w:val="center"/>
          </w:tcPr>
          <w:p w14:paraId="7D1143F1" w14:textId="2C5FFFF3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A6870DC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5B577A0B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2ABF12F8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F476AB7" w14:textId="79EAE89D" w:rsidR="0072272D" w:rsidRPr="0072272D" w:rsidRDefault="0072272D" w:rsidP="0072272D">
            <w:pPr>
              <w:rPr>
                <w:rFonts w:eastAsia="Calibri" w:cstheme="minorHAnsi"/>
                <w:color w:val="00000A"/>
                <w:sz w:val="18"/>
                <w:szCs w:val="18"/>
              </w:rPr>
            </w:pPr>
            <w:r w:rsidRPr="0072272D">
              <w:rPr>
                <w:rFonts w:cstheme="minorHAnsi"/>
                <w:color w:val="000000"/>
                <w:sz w:val="18"/>
                <w:szCs w:val="18"/>
              </w:rPr>
              <w:t>Szkolenie personelu z zakresu użytkowania</w:t>
            </w:r>
          </w:p>
        </w:tc>
        <w:tc>
          <w:tcPr>
            <w:tcW w:w="1482" w:type="dxa"/>
            <w:vAlign w:val="center"/>
          </w:tcPr>
          <w:p w14:paraId="71D5D847" w14:textId="43EAB8FC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3D707EA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30BC0DBC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45F1D043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8CF7321" w14:textId="1EC76F65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color w:val="000000"/>
                <w:sz w:val="18"/>
                <w:szCs w:val="18"/>
              </w:rPr>
              <w:t>Szkolenie personelu z zakresu utrzymania technicznego (eksploatacja, czyszczenie, czynności serwisowe niewymagające specjalistycznych urządzeń pomiarowych i oprogramowania)</w:t>
            </w:r>
          </w:p>
        </w:tc>
        <w:tc>
          <w:tcPr>
            <w:tcW w:w="1482" w:type="dxa"/>
            <w:vAlign w:val="center"/>
          </w:tcPr>
          <w:p w14:paraId="79809C31" w14:textId="640932FB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5F4F085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4BD95717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3967C2F5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CAF0CCA" w14:textId="4FF5B75A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Zapewnienie pełnego wsparcia technicznego na czas gwarancji, w tym przeglądy jeśli są wymagane</w:t>
            </w:r>
          </w:p>
        </w:tc>
        <w:tc>
          <w:tcPr>
            <w:tcW w:w="1482" w:type="dxa"/>
            <w:vAlign w:val="center"/>
          </w:tcPr>
          <w:p w14:paraId="428A8EC7" w14:textId="2087CE51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color w:val="000000"/>
                <w:sz w:val="18"/>
                <w:szCs w:val="18"/>
              </w:rPr>
              <w:t>Tak, jaka częstotliwość przeglądów</w:t>
            </w:r>
          </w:p>
        </w:tc>
        <w:tc>
          <w:tcPr>
            <w:tcW w:w="1531" w:type="dxa"/>
          </w:tcPr>
          <w:p w14:paraId="589449A0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4FCE2D03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6BEEF0A2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8926A8A" w14:textId="1502AC01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Jeśli wymagane przeglądy, wskazanie pełnego wykazu czynności serwisowych przewidzianych dla okresu 10 lat wraz ze wskazaniem wymiany części eksploatacyjnych.</w:t>
            </w:r>
          </w:p>
        </w:tc>
        <w:tc>
          <w:tcPr>
            <w:tcW w:w="1482" w:type="dxa"/>
            <w:vAlign w:val="center"/>
          </w:tcPr>
          <w:p w14:paraId="340E1B5B" w14:textId="228D6D25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C3C4921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57DF8C11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33A1A482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B30CF97" w14:textId="26A0E28F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color w:val="000000"/>
                <w:sz w:val="18"/>
                <w:szCs w:val="18"/>
              </w:rPr>
              <w:t>Certyfikat CE i noty zgodności pozwalające na pracę w UE</w:t>
            </w:r>
          </w:p>
        </w:tc>
        <w:tc>
          <w:tcPr>
            <w:tcW w:w="1482" w:type="dxa"/>
            <w:vAlign w:val="center"/>
          </w:tcPr>
          <w:p w14:paraId="7A98AED1" w14:textId="052051AF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E777565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597DEBF0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360D42FD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5CFC372" w14:textId="43EA4FDC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Diatermia dużej mocy mono i bipolarna z funkcją zamykania dużych naczyń</w:t>
            </w:r>
          </w:p>
        </w:tc>
        <w:tc>
          <w:tcPr>
            <w:tcW w:w="1482" w:type="dxa"/>
          </w:tcPr>
          <w:p w14:paraId="3409485D" w14:textId="0F0687FC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329E688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4F5E8A03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4ED12BAE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498595B7" w14:textId="089B98F4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Kolorowy ekran dotykowy do komunikacji z użytkownikiem o przekątnej min 8 cali, oprogramowanie w języku polskim</w:t>
            </w:r>
          </w:p>
        </w:tc>
        <w:tc>
          <w:tcPr>
            <w:tcW w:w="1482" w:type="dxa"/>
          </w:tcPr>
          <w:p w14:paraId="24CD6FB7" w14:textId="54478A47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84377F9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6A2B53D5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78E166FC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A38BFD7" w14:textId="5790A420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Wyświetlanie parametrów pracy - nastaw wyłącznie dla aktualnie używanego narzędzia, czyli aktywnego gniazda</w:t>
            </w:r>
          </w:p>
        </w:tc>
        <w:tc>
          <w:tcPr>
            <w:tcW w:w="1482" w:type="dxa"/>
          </w:tcPr>
          <w:p w14:paraId="6E248354" w14:textId="62F553C3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9CF20D5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6D41278D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1B3C0506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68996735" w14:textId="789B4E81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 xml:space="preserve">Możliwość diagnozowania oraz wgrywania dostępnego oprogramowania przez sieć </w:t>
            </w:r>
            <w:proofErr w:type="spellStart"/>
            <w:r w:rsidRPr="0072272D">
              <w:rPr>
                <w:rFonts w:cstheme="minorHAnsi"/>
                <w:sz w:val="18"/>
                <w:szCs w:val="18"/>
              </w:rPr>
              <w:t>WiFi</w:t>
            </w:r>
            <w:proofErr w:type="spellEnd"/>
          </w:p>
        </w:tc>
        <w:tc>
          <w:tcPr>
            <w:tcW w:w="1482" w:type="dxa"/>
          </w:tcPr>
          <w:p w14:paraId="791FB5ED" w14:textId="77777777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 – 2 pkt</w:t>
            </w:r>
          </w:p>
          <w:p w14:paraId="601946A7" w14:textId="50934A18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44B84BCF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25CE12FA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779746E1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1870CEB" w14:textId="3D8E6471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Możliwość zapamiętania minimum 100 programów/kompletów nastaw i zapisania ich pod nazwą użytkownika lub procedury</w:t>
            </w:r>
          </w:p>
        </w:tc>
        <w:tc>
          <w:tcPr>
            <w:tcW w:w="1482" w:type="dxa"/>
          </w:tcPr>
          <w:p w14:paraId="35074B7E" w14:textId="1AB02835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3E7FC7C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1D810A91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6DBACEAB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2976BC2" w14:textId="730334F8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Możliwość zmiany programu przez operatora w czasie zabiegu za pomocą kombinacji przycisków cięcie/koagulacja, sterownika nożnego posiadającego przycisk zmiany programów oraz z ekranu diatermii. Możliwość zmiany min. 3 wcześniej zaprogramowanych kompletów nastaw za pomocą wyłącznika nożnego, z ekranu urządzenia i za pomocą uchwytu</w:t>
            </w:r>
          </w:p>
        </w:tc>
        <w:tc>
          <w:tcPr>
            <w:tcW w:w="1482" w:type="dxa"/>
          </w:tcPr>
          <w:p w14:paraId="760DD235" w14:textId="5D140561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B462834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6507CE8C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7A7F0E93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75F1C8D" w14:textId="641F3AAB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Sterowanie urządzeniem za pomocą wyboru efektów tkankowych. Dozowanie mocy i innych parametrów prądu przez urządzenie w całkowicie automatyczny sposób tak, aby był zachowany nastawiony efekt tkankowy. Nie dopuszcza się możliwości regulacji aparatu przez nastawianie mocy wyjściowej</w:t>
            </w:r>
          </w:p>
        </w:tc>
        <w:tc>
          <w:tcPr>
            <w:tcW w:w="1482" w:type="dxa"/>
          </w:tcPr>
          <w:p w14:paraId="16D756DE" w14:textId="1D1AA98F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E2C500C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1F56DA99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778BCA2A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48D7B062" w14:textId="22E79AF5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Dwie różne funkcje zamykania dużych naczyń z automatycznym startem po prawidłowej aplikacji instrumentu z regulowanym czasem zwłoki oraz automatycznym wyłączeniem po osiągnięciu zamknięcia naczyń. Regulacja intensywności pracy dla obu funkcji.</w:t>
            </w:r>
          </w:p>
        </w:tc>
        <w:tc>
          <w:tcPr>
            <w:tcW w:w="1482" w:type="dxa"/>
          </w:tcPr>
          <w:p w14:paraId="159674A6" w14:textId="2A3071D6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805BE00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1C56C7AD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620CD5D4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1741357" w14:textId="1F8BE780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Dodatkowo możliwość aktywacji narzędzi do zamykania dużych naczyń w tzw. Autostarcie oraz z wyłącznika nożnego i rękojeści jeśli posiadają do tego celu odpowiednie przyciski</w:t>
            </w:r>
          </w:p>
        </w:tc>
        <w:tc>
          <w:tcPr>
            <w:tcW w:w="1482" w:type="dxa"/>
          </w:tcPr>
          <w:p w14:paraId="7D16A49A" w14:textId="553CDB49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8B5AA65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5AEAF5E6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3CA64D70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52F58CFD" w14:textId="1AB56BCB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Specjalistyczny tryb cięcia w soli fizjologicznej za pomocą resektoskopów bipolarnych z automatyczną regulacją napięcia i mocą min. 400W</w:t>
            </w:r>
          </w:p>
        </w:tc>
        <w:tc>
          <w:tcPr>
            <w:tcW w:w="1482" w:type="dxa"/>
          </w:tcPr>
          <w:p w14:paraId="312EB4CE" w14:textId="3CF51048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7DB1614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2AEC4ACA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6C4CB3BE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55986434" w14:textId="207E6337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Specjalistyczny tryb koagulacji w soli fizjologicznej za pomocą resektoskopów bipolarnych z mocą min. 200W</w:t>
            </w:r>
          </w:p>
        </w:tc>
        <w:tc>
          <w:tcPr>
            <w:tcW w:w="1482" w:type="dxa"/>
          </w:tcPr>
          <w:p w14:paraId="5248F32F" w14:textId="2BB0EC47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3A6392D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2DDAED25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300FD3DE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6A3FAD22" w14:textId="3D653B95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Automatyczne ustawienie parametrów pracy przy podłączeniu instrumentów. Ekran wskazujący parametry pracy aktualnie używanego instrumentu</w:t>
            </w:r>
          </w:p>
        </w:tc>
        <w:tc>
          <w:tcPr>
            <w:tcW w:w="1482" w:type="dxa"/>
          </w:tcPr>
          <w:p w14:paraId="27E1E81D" w14:textId="6FAB8A29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092768E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4E822892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3CD6CE4B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17B4EB71" w14:textId="22E0283A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System kontroli aplikacji elektrody biernej wielorazowej i jednorazowej, wizualny wskaźnik stanu aplikacji elektrody biernej</w:t>
            </w:r>
          </w:p>
        </w:tc>
        <w:tc>
          <w:tcPr>
            <w:tcW w:w="1482" w:type="dxa"/>
          </w:tcPr>
          <w:p w14:paraId="12B8F983" w14:textId="0C74111D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D48D78D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4A2A24F5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178FB107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E87073F" w14:textId="5BC1496B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Systemy kontroli pracy z komunikatami błędów w języku polskim</w:t>
            </w:r>
          </w:p>
        </w:tc>
        <w:tc>
          <w:tcPr>
            <w:tcW w:w="1482" w:type="dxa"/>
          </w:tcPr>
          <w:p w14:paraId="1D2DF473" w14:textId="212A7D71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7079D4C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24A4C95C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485D44F1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D2AC039" w14:textId="761B1D48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Dwa gniazda do podłączenia włączników nożnych na panelu tylnym diatermii</w:t>
            </w:r>
          </w:p>
        </w:tc>
        <w:tc>
          <w:tcPr>
            <w:tcW w:w="1482" w:type="dxa"/>
          </w:tcPr>
          <w:p w14:paraId="2C1D200D" w14:textId="093F4D11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463684A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262B0E03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02B2519B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DF14D87" w14:textId="5C7C4D08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Możliwość współpracy z modułem do preparowania tkanek strumieniem soli fizjologicznej przy wykorzystaniu technik łączących cięcie i koagulację z techniką preparowania płynem</w:t>
            </w:r>
          </w:p>
        </w:tc>
        <w:tc>
          <w:tcPr>
            <w:tcW w:w="1482" w:type="dxa"/>
          </w:tcPr>
          <w:p w14:paraId="27A40D2A" w14:textId="77777777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 – 2 pkt</w:t>
            </w:r>
          </w:p>
          <w:p w14:paraId="5B99D541" w14:textId="77777777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NIE – 0 pkt</w:t>
            </w:r>
          </w:p>
          <w:p w14:paraId="7D37D995" w14:textId="77777777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1" w:type="dxa"/>
          </w:tcPr>
          <w:p w14:paraId="62A31A0B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1ECAD6E4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5BCADEF6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10D8697F" w14:textId="37970604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Możliwość współpracy z pompą płuczącą</w:t>
            </w:r>
          </w:p>
        </w:tc>
        <w:tc>
          <w:tcPr>
            <w:tcW w:w="1482" w:type="dxa"/>
          </w:tcPr>
          <w:p w14:paraId="5953F6B7" w14:textId="37CE9468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52CB28F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7E2DF658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48A2B320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4BEA247" w14:textId="0B20222A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 xml:space="preserve">Możliwość używania jednocześnie min. 2 instrumentów </w:t>
            </w:r>
            <w:proofErr w:type="spellStart"/>
            <w:r w:rsidRPr="0072272D">
              <w:rPr>
                <w:rFonts w:cstheme="minorHAnsi"/>
                <w:sz w:val="18"/>
                <w:szCs w:val="18"/>
              </w:rPr>
              <w:t>monopolarnych</w:t>
            </w:r>
            <w:proofErr w:type="spellEnd"/>
          </w:p>
        </w:tc>
        <w:tc>
          <w:tcPr>
            <w:tcW w:w="1482" w:type="dxa"/>
          </w:tcPr>
          <w:p w14:paraId="4064347E" w14:textId="6ACB6A90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F3E902D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1499244E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5188C92D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79AB757" w14:textId="18C41731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 xml:space="preserve">Moc cięcia </w:t>
            </w:r>
            <w:proofErr w:type="spellStart"/>
            <w:r w:rsidRPr="0072272D">
              <w:rPr>
                <w:rFonts w:cstheme="minorHAnsi"/>
                <w:sz w:val="18"/>
                <w:szCs w:val="18"/>
              </w:rPr>
              <w:t>monopolarnego</w:t>
            </w:r>
            <w:proofErr w:type="spellEnd"/>
            <w:r w:rsidRPr="0072272D">
              <w:rPr>
                <w:rFonts w:cstheme="minorHAnsi"/>
                <w:sz w:val="18"/>
                <w:szCs w:val="18"/>
              </w:rPr>
              <w:t xml:space="preserve"> min. 400W z możliwością nastawienia min. 10 efektów tkankowych</w:t>
            </w:r>
          </w:p>
        </w:tc>
        <w:tc>
          <w:tcPr>
            <w:tcW w:w="1482" w:type="dxa"/>
          </w:tcPr>
          <w:p w14:paraId="55783EF9" w14:textId="35BA7676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114C368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0F8F0662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5E219F4B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4AE8E8FF" w14:textId="4D5F6788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 xml:space="preserve">Moc koagulacji </w:t>
            </w:r>
            <w:proofErr w:type="spellStart"/>
            <w:r w:rsidRPr="0072272D">
              <w:rPr>
                <w:rFonts w:cstheme="minorHAnsi"/>
                <w:sz w:val="18"/>
                <w:szCs w:val="18"/>
              </w:rPr>
              <w:t>monopolarnej</w:t>
            </w:r>
            <w:proofErr w:type="spellEnd"/>
            <w:r w:rsidRPr="0072272D">
              <w:rPr>
                <w:rFonts w:cstheme="minorHAnsi"/>
                <w:sz w:val="18"/>
                <w:szCs w:val="18"/>
              </w:rPr>
              <w:t xml:space="preserve"> min. 200 W z możliwością nastawienia min. 10 efektów tkankowych</w:t>
            </w:r>
          </w:p>
        </w:tc>
        <w:tc>
          <w:tcPr>
            <w:tcW w:w="1482" w:type="dxa"/>
          </w:tcPr>
          <w:p w14:paraId="643F55ED" w14:textId="60139E00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CD05663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3B0DBF90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67684237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5C1394F" w14:textId="6BA15EC8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Cięcie bipolarne z mocą min. 300W z możliwością nastawienia min. 10 efektów tkankowych</w:t>
            </w:r>
          </w:p>
        </w:tc>
        <w:tc>
          <w:tcPr>
            <w:tcW w:w="1482" w:type="dxa"/>
          </w:tcPr>
          <w:p w14:paraId="00C052CF" w14:textId="28BE175E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D359122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413D6719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35419AB2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0D85E34" w14:textId="1F933C9B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Moc koagulacji bipolarnej min. 200 W z możliwością nastawienia min. 10 efektów tkankowych</w:t>
            </w:r>
          </w:p>
        </w:tc>
        <w:tc>
          <w:tcPr>
            <w:tcW w:w="1482" w:type="dxa"/>
          </w:tcPr>
          <w:p w14:paraId="77A2CBED" w14:textId="6E88B669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B763789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5006560E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374EFA5A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6BE713DA" w14:textId="0DCACB84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Funkcja zamykania dużych naczyń z mocą min. 350W</w:t>
            </w:r>
          </w:p>
        </w:tc>
        <w:tc>
          <w:tcPr>
            <w:tcW w:w="1482" w:type="dxa"/>
          </w:tcPr>
          <w:p w14:paraId="1AF18523" w14:textId="37EE33B0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E8D5BC4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6AC97B71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4A2CCA31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35592BE" w14:textId="4841AB46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 xml:space="preserve">Minimum 3 rodzaje cięcia </w:t>
            </w:r>
            <w:proofErr w:type="spellStart"/>
            <w:r w:rsidRPr="0072272D">
              <w:rPr>
                <w:rFonts w:cstheme="minorHAnsi"/>
                <w:sz w:val="18"/>
                <w:szCs w:val="18"/>
              </w:rPr>
              <w:t>monopolarnego</w:t>
            </w:r>
            <w:proofErr w:type="spellEnd"/>
            <w:r w:rsidRPr="0072272D">
              <w:rPr>
                <w:rFonts w:cstheme="minorHAnsi"/>
                <w:sz w:val="18"/>
                <w:szCs w:val="18"/>
              </w:rPr>
              <w:t xml:space="preserve">, min. 4 rodzaje koagulacji </w:t>
            </w:r>
            <w:proofErr w:type="spellStart"/>
            <w:r w:rsidRPr="0072272D">
              <w:rPr>
                <w:rFonts w:cstheme="minorHAnsi"/>
                <w:sz w:val="18"/>
                <w:szCs w:val="18"/>
              </w:rPr>
              <w:t>monopolarnej</w:t>
            </w:r>
            <w:proofErr w:type="spellEnd"/>
            <w:r w:rsidRPr="0072272D">
              <w:rPr>
                <w:rFonts w:cstheme="minorHAnsi"/>
                <w:sz w:val="18"/>
                <w:szCs w:val="18"/>
              </w:rPr>
              <w:t>, min. 2 rodzaje cięcia bipolarnego i min. 2 rodzaje koagulacji bipolarnej, każdy z tych prądów powinien posiadać regulację min. 5 elektów tkankowych</w:t>
            </w:r>
          </w:p>
        </w:tc>
        <w:tc>
          <w:tcPr>
            <w:tcW w:w="1482" w:type="dxa"/>
          </w:tcPr>
          <w:p w14:paraId="74EB4DCD" w14:textId="1A546915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21495F5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389AF9DE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2806F9D9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EABC656" w14:textId="33501D80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Możliwość wymiany gniazd przyłączeniowych na gniazda o innych standardach wtyków samodzielnie przez użytkownika na sali operacyjnej bez konieczności działań serwisowych</w:t>
            </w:r>
          </w:p>
        </w:tc>
        <w:tc>
          <w:tcPr>
            <w:tcW w:w="1482" w:type="dxa"/>
          </w:tcPr>
          <w:p w14:paraId="0EE4962E" w14:textId="23888D4C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2621A61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35F80BDC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3F43FBCD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E1FB912" w14:textId="48A14F43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 xml:space="preserve">Uniwersalne gniazdo </w:t>
            </w:r>
            <w:proofErr w:type="spellStart"/>
            <w:r w:rsidRPr="0072272D">
              <w:rPr>
                <w:rFonts w:cstheme="minorHAnsi"/>
                <w:sz w:val="18"/>
                <w:szCs w:val="18"/>
              </w:rPr>
              <w:t>monopolarne</w:t>
            </w:r>
            <w:proofErr w:type="spellEnd"/>
            <w:r w:rsidRPr="0072272D">
              <w:rPr>
                <w:rFonts w:cstheme="minorHAnsi"/>
                <w:sz w:val="18"/>
                <w:szCs w:val="18"/>
              </w:rPr>
              <w:t xml:space="preserve"> umożliwiające bezpośrednie tzn. bez żadnych dodatkowych łączników, adapterów itp. podłączenie przewodów w trzech różnych standardach: z wtyczkami </w:t>
            </w:r>
            <w:proofErr w:type="spellStart"/>
            <w:r w:rsidRPr="0072272D">
              <w:rPr>
                <w:rFonts w:cstheme="minorHAnsi"/>
                <w:sz w:val="18"/>
                <w:szCs w:val="18"/>
              </w:rPr>
              <w:t>jednopinowymi</w:t>
            </w:r>
            <w:proofErr w:type="spellEnd"/>
            <w:r w:rsidRPr="0072272D">
              <w:rPr>
                <w:rFonts w:cstheme="minorHAnsi"/>
                <w:sz w:val="18"/>
                <w:szCs w:val="18"/>
              </w:rPr>
              <w:t xml:space="preserve"> 4mm i 5mm oraz </w:t>
            </w:r>
            <w:proofErr w:type="spellStart"/>
            <w:r w:rsidRPr="0072272D">
              <w:rPr>
                <w:rFonts w:cstheme="minorHAnsi"/>
                <w:sz w:val="18"/>
                <w:szCs w:val="18"/>
              </w:rPr>
              <w:t>trzypinowych</w:t>
            </w:r>
            <w:proofErr w:type="spellEnd"/>
          </w:p>
        </w:tc>
        <w:tc>
          <w:tcPr>
            <w:tcW w:w="1482" w:type="dxa"/>
          </w:tcPr>
          <w:p w14:paraId="120BB9F7" w14:textId="6F6A8F16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6E9E4B6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21DE87C8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0E8A6C43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6F67F518" w14:textId="66001F59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 xml:space="preserve">Uniwersalne gniazdo bipolarne umożliwiające bezpośrednie tzn. bez żadnych dodatkowych łączników, adapterów itp. podłączenie przewodów w trzech różnych standardach: z pojedynczymi wtyczkami okrągłymi oraz </w:t>
            </w:r>
            <w:proofErr w:type="spellStart"/>
            <w:r w:rsidRPr="0072272D">
              <w:rPr>
                <w:rFonts w:cstheme="minorHAnsi"/>
                <w:sz w:val="18"/>
                <w:szCs w:val="18"/>
              </w:rPr>
              <w:t>dwupinowych</w:t>
            </w:r>
            <w:proofErr w:type="spellEnd"/>
            <w:r w:rsidRPr="0072272D">
              <w:rPr>
                <w:rFonts w:cstheme="minorHAnsi"/>
                <w:sz w:val="18"/>
                <w:szCs w:val="18"/>
              </w:rPr>
              <w:t xml:space="preserve"> o rozstawach 22mm i 28mm</w:t>
            </w:r>
          </w:p>
        </w:tc>
        <w:tc>
          <w:tcPr>
            <w:tcW w:w="1482" w:type="dxa"/>
          </w:tcPr>
          <w:p w14:paraId="023280C0" w14:textId="2DBF89F3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681EFEF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6B9538D7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3552C487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434A4F1A" w14:textId="281C0958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Uniwersalne gniazdo elektrody neutralnej umożliwiające bezpośrednie podłączenie tzn. bez żadnych dodatkowych łączników, adapterów itp. przewodów w dwóch systemach wtyczek: okrągłe 1-pin śr. 6mm oraz płaska 2 pin</w:t>
            </w:r>
          </w:p>
        </w:tc>
        <w:tc>
          <w:tcPr>
            <w:tcW w:w="1482" w:type="dxa"/>
          </w:tcPr>
          <w:p w14:paraId="14C96D0B" w14:textId="569F352E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E68F53F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0155C207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7EE40564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CAFCD29" w14:textId="34C8191A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 xml:space="preserve">Uniwersalne gniazdo do podłączenia osprzętu </w:t>
            </w:r>
            <w:proofErr w:type="spellStart"/>
            <w:r w:rsidRPr="0072272D">
              <w:rPr>
                <w:rFonts w:cstheme="minorHAnsi"/>
                <w:sz w:val="18"/>
                <w:szCs w:val="18"/>
              </w:rPr>
              <w:t>monopolarnego</w:t>
            </w:r>
            <w:proofErr w:type="spellEnd"/>
            <w:r w:rsidRPr="0072272D">
              <w:rPr>
                <w:rFonts w:cstheme="minorHAnsi"/>
                <w:sz w:val="18"/>
                <w:szCs w:val="18"/>
              </w:rPr>
              <w:t>, bipolarnego i do zamykania naczyń</w:t>
            </w:r>
          </w:p>
        </w:tc>
        <w:tc>
          <w:tcPr>
            <w:tcW w:w="1482" w:type="dxa"/>
          </w:tcPr>
          <w:p w14:paraId="4F5E4CE0" w14:textId="7B77C9CB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FB802F1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55FBB81F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3BF141DF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178E8F8" w14:textId="3D85584C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Minimum 4 gniazda umożliwiające podłączanie instrumentów czynnych oraz 1 gniazdo elektrody neutralnej</w:t>
            </w:r>
          </w:p>
        </w:tc>
        <w:tc>
          <w:tcPr>
            <w:tcW w:w="1482" w:type="dxa"/>
          </w:tcPr>
          <w:p w14:paraId="068E4D96" w14:textId="3F9936A6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C431EA7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4C7FEDAA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25E8EC65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3D24C61" w14:textId="77777777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 xml:space="preserve">Osprzęt i akcesoria dostarczone wraz z diatermią: </w:t>
            </w:r>
          </w:p>
          <w:p w14:paraId="65C9096A" w14:textId="77777777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 xml:space="preserve">- Włącznik nożny trzyprzyciskowy z możliwością zmiany programu – 1szt </w:t>
            </w:r>
          </w:p>
          <w:p w14:paraId="6C7B222A" w14:textId="77777777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 xml:space="preserve">- Elektrody neutralne przylepne, dwudzielne, symetryczne z elektrycznie odizolowanym pierścieniem potencjału pakowane po 50 szt. – 4 opakowania </w:t>
            </w:r>
          </w:p>
          <w:p w14:paraId="4ADA8C5C" w14:textId="77777777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- Przewód do elektrod neutralnych dł. min. 4m – 1 szt.</w:t>
            </w:r>
          </w:p>
          <w:p w14:paraId="73C19DB4" w14:textId="3D477CDD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- Przewód do resektoskopu bipolarnego o dł. min. 4m – 2 szt.</w:t>
            </w:r>
          </w:p>
        </w:tc>
        <w:tc>
          <w:tcPr>
            <w:tcW w:w="1482" w:type="dxa"/>
          </w:tcPr>
          <w:p w14:paraId="65CBF960" w14:textId="7A8E0326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D2AC2CC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0A7DFFE6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1FD1587A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D3C11D8" w14:textId="351BB2FB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W zestawie z diatermia dedykowany do urządzenia wózek jezdny z możliwością blokady kółek</w:t>
            </w:r>
          </w:p>
        </w:tc>
        <w:tc>
          <w:tcPr>
            <w:tcW w:w="1482" w:type="dxa"/>
          </w:tcPr>
          <w:p w14:paraId="02AE0980" w14:textId="77777777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 – 2 pkt</w:t>
            </w:r>
          </w:p>
          <w:p w14:paraId="448556EC" w14:textId="69AF1D75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4A647234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16C3D775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3F2B460E" w14:textId="77777777" w:rsidR="0072272D" w:rsidRPr="00293492" w:rsidRDefault="0072272D" w:rsidP="0072272D">
            <w:pPr>
              <w:pStyle w:val="Akapitzlist"/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A2B669E" w14:textId="0EDD7BEB" w:rsidR="0072272D" w:rsidRPr="0072272D" w:rsidRDefault="0072272D" w:rsidP="0072272D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72272D">
              <w:rPr>
                <w:rFonts w:cstheme="minorHAnsi"/>
                <w:b/>
                <w:bCs/>
                <w:sz w:val="18"/>
                <w:szCs w:val="18"/>
              </w:rPr>
              <w:t>SZKOLENIA</w:t>
            </w:r>
          </w:p>
        </w:tc>
        <w:tc>
          <w:tcPr>
            <w:tcW w:w="1482" w:type="dxa"/>
          </w:tcPr>
          <w:p w14:paraId="6E0CABF0" w14:textId="77777777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1" w:type="dxa"/>
          </w:tcPr>
          <w:p w14:paraId="772D0FCB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320D8399" w14:textId="77777777" w:rsidTr="00646D74">
        <w:trPr>
          <w:trHeight w:val="625"/>
        </w:trPr>
        <w:tc>
          <w:tcPr>
            <w:tcW w:w="851" w:type="dxa"/>
            <w:vAlign w:val="bottom"/>
          </w:tcPr>
          <w:p w14:paraId="33FB38F4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47C4B212" w14:textId="5633CFBB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Wykonawca zapewnia szkolenie personelu z zakresu ob. sługi i użytkowania urządzenia w ciągu 14 dni roboczych od daty dostawy. Zamawiający wymaga spisania protokołu ze szkolenia.</w:t>
            </w:r>
          </w:p>
        </w:tc>
        <w:tc>
          <w:tcPr>
            <w:tcW w:w="1482" w:type="dxa"/>
          </w:tcPr>
          <w:p w14:paraId="5FF036AD" w14:textId="1CB52DC0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D6E7865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1AB84FAB" w14:textId="77777777" w:rsidTr="00646D74">
        <w:trPr>
          <w:trHeight w:val="625"/>
        </w:trPr>
        <w:tc>
          <w:tcPr>
            <w:tcW w:w="851" w:type="dxa"/>
            <w:vAlign w:val="bottom"/>
          </w:tcPr>
          <w:p w14:paraId="42E830A1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609E7065" w14:textId="6DA8D90B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Czas reakcji serwisu po otrzymaniu zgłoszenia od Zamawiającego – do 3 dni roboczych (w okresie obowiązywania gwarancji)</w:t>
            </w:r>
          </w:p>
        </w:tc>
        <w:tc>
          <w:tcPr>
            <w:tcW w:w="1482" w:type="dxa"/>
          </w:tcPr>
          <w:p w14:paraId="394ABFB6" w14:textId="019B60FA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3A98DFA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7209A289" w14:textId="77777777" w:rsidTr="00646D74">
        <w:trPr>
          <w:trHeight w:val="625"/>
        </w:trPr>
        <w:tc>
          <w:tcPr>
            <w:tcW w:w="851" w:type="dxa"/>
            <w:vAlign w:val="bottom"/>
          </w:tcPr>
          <w:p w14:paraId="49202758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192375A" w14:textId="40E4128A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Czas usunięcia awarii, przywrócenia urządzenia do pełnej sprawności – do 14 dni roboczych</w:t>
            </w:r>
          </w:p>
        </w:tc>
        <w:tc>
          <w:tcPr>
            <w:tcW w:w="1482" w:type="dxa"/>
          </w:tcPr>
          <w:p w14:paraId="1162767A" w14:textId="08A8090F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967E6B0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290211B8" w14:textId="77777777" w:rsidTr="00646D74">
        <w:trPr>
          <w:trHeight w:val="625"/>
        </w:trPr>
        <w:tc>
          <w:tcPr>
            <w:tcW w:w="851" w:type="dxa"/>
            <w:vAlign w:val="bottom"/>
          </w:tcPr>
          <w:p w14:paraId="4256F254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1C9B5E2E" w14:textId="317049FC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Serwis gwarancyjny i pogwarancyjny realizowany na terenie RP</w:t>
            </w:r>
          </w:p>
        </w:tc>
        <w:tc>
          <w:tcPr>
            <w:tcW w:w="1482" w:type="dxa"/>
          </w:tcPr>
          <w:p w14:paraId="0F78C023" w14:textId="3BD3119A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66FC5C0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771D29C" w14:textId="74A996A4" w:rsidR="00932262" w:rsidRPr="00293492" w:rsidRDefault="00932262" w:rsidP="00E22D7B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</w:p>
    <w:sectPr w:rsidR="00932262" w:rsidRPr="00293492" w:rsidSect="005773F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66FE9" w14:textId="77777777" w:rsidR="00DA5901" w:rsidRDefault="00DA5901" w:rsidP="005773F2">
      <w:pPr>
        <w:spacing w:after="0" w:line="240" w:lineRule="auto"/>
      </w:pPr>
      <w:r>
        <w:separator/>
      </w:r>
    </w:p>
  </w:endnote>
  <w:endnote w:type="continuationSeparator" w:id="0">
    <w:p w14:paraId="2B3338C2" w14:textId="77777777" w:rsidR="00DA5901" w:rsidRDefault="00DA5901" w:rsidP="00577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547F3" w14:textId="77777777" w:rsidR="00DA5901" w:rsidRDefault="00DA5901" w:rsidP="005773F2">
      <w:pPr>
        <w:spacing w:after="0" w:line="240" w:lineRule="auto"/>
      </w:pPr>
      <w:r>
        <w:separator/>
      </w:r>
    </w:p>
  </w:footnote>
  <w:footnote w:type="continuationSeparator" w:id="0">
    <w:p w14:paraId="468A5E02" w14:textId="77777777" w:rsidR="00DA5901" w:rsidRDefault="00DA5901" w:rsidP="00577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3" w:type="dxa"/>
      <w:tblInd w:w="5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82"/>
      <w:gridCol w:w="6617"/>
      <w:gridCol w:w="735"/>
      <w:gridCol w:w="959"/>
    </w:tblGrid>
    <w:tr w:rsidR="008664B7" w:rsidRPr="000F0791" w14:paraId="2E66B7FB" w14:textId="77777777" w:rsidTr="00B3258F">
      <w:trPr>
        <w:cantSplit/>
        <w:trHeight w:val="150"/>
        <w:tblHeader/>
      </w:trPr>
      <w:tc>
        <w:tcPr>
          <w:tcW w:w="8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A108C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 w:rsidRPr="000F0791">
            <w:rPr>
              <w:noProof/>
              <w:lang w:eastAsia="pl-PL"/>
            </w:rPr>
            <w:drawing>
              <wp:inline distT="0" distB="0" distL="0" distR="0" wp14:anchorId="090E6322" wp14:editId="07FDB4AB">
                <wp:extent cx="360045" cy="353060"/>
                <wp:effectExtent l="0" t="0" r="1905" b="889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004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DB840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 IM. HELIODORA ŚWIĘCICKIEGO</w:t>
          </w:r>
        </w:p>
        <w:p w14:paraId="5965CFE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UNIWERSYTETU MEDYCZNEGO IM. KAROLA MARCINKOWSKIEGO W POZNANIU</w:t>
          </w:r>
        </w:p>
        <w:p w14:paraId="31E66B79" w14:textId="77777777" w:rsidR="008664B7" w:rsidRPr="000F0791" w:rsidRDefault="008664B7" w:rsidP="008664B7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0F0791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69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FB5D985" w14:textId="77777777" w:rsidR="008664B7" w:rsidRPr="000F0791" w:rsidRDefault="008664B7" w:rsidP="008664B7">
          <w:pPr>
            <w:rPr>
              <w:rFonts w:ascii="Tahoma" w:hAnsi="Tahoma" w:cs="Tahoma"/>
              <w:b/>
              <w:sz w:val="16"/>
              <w:szCs w:val="16"/>
            </w:rPr>
          </w:pPr>
          <w:r w:rsidRPr="000F0791">
            <w:rPr>
              <w:rFonts w:ascii="Tahoma" w:hAnsi="Tahoma" w:cs="Tahoma"/>
              <w:b/>
              <w:bCs/>
              <w:sz w:val="16"/>
              <w:szCs w:val="16"/>
            </w:rPr>
            <w:t>F16-ZP</w:t>
          </w:r>
        </w:p>
      </w:tc>
    </w:tr>
    <w:tr w:rsidR="008664B7" w:rsidRPr="000F0791" w14:paraId="6C973AE9" w14:textId="77777777" w:rsidTr="00B3258F">
      <w:trPr>
        <w:cantSplit/>
        <w:trHeight w:val="148"/>
        <w:tblHeader/>
      </w:trPr>
      <w:tc>
        <w:tcPr>
          <w:tcW w:w="88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ACEAFB" w14:textId="77777777" w:rsidR="008664B7" w:rsidRPr="000F0791" w:rsidRDefault="008664B7" w:rsidP="008664B7">
          <w:pPr>
            <w:jc w:val="center"/>
            <w:rPr>
              <w:rFonts w:ascii="Tahoma" w:hAnsi="Tahoma" w:cs="Tahoma"/>
            </w:rPr>
          </w:pPr>
        </w:p>
      </w:tc>
      <w:tc>
        <w:tcPr>
          <w:tcW w:w="661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5BF6E02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7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BEC1FDC" w14:textId="77777777" w:rsidR="008664B7" w:rsidRPr="000F0791" w:rsidRDefault="008664B7" w:rsidP="008664B7">
          <w:pPr>
            <w:ind w:left="-119" w:right="-70" w:firstLine="119"/>
            <w:rPr>
              <w:rFonts w:ascii="Tahoma" w:hAnsi="Tahoma" w:cs="Tahoma"/>
              <w:b/>
              <w:bCs/>
              <w:sz w:val="14"/>
              <w:szCs w:val="14"/>
            </w:rPr>
          </w:pPr>
          <w:r w:rsidRPr="000F0791"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8F32A9" w14:textId="77777777" w:rsidR="008664B7" w:rsidRPr="000F0791" w:rsidRDefault="008664B7" w:rsidP="008664B7">
          <w:pPr>
            <w:jc w:val="center"/>
          </w:pPr>
          <w:r w:rsidRPr="000F0791">
            <w:rPr>
              <w:rFonts w:ascii="Tahoma" w:hAnsi="Tahoma" w:cs="Tahoma"/>
              <w:sz w:val="14"/>
            </w:rPr>
            <w:t xml:space="preserve">Strona </w:t>
          </w:r>
          <w:r w:rsidRPr="000F0791">
            <w:rPr>
              <w:rFonts w:ascii="Tahoma" w:hAnsi="Tahoma" w:cs="Tahoma"/>
              <w:sz w:val="14"/>
            </w:rPr>
            <w:fldChar w:fldCharType="begin"/>
          </w:r>
          <w:r w:rsidRPr="000F0791">
            <w:rPr>
              <w:rFonts w:ascii="Tahoma" w:hAnsi="Tahoma" w:cs="Tahoma"/>
              <w:sz w:val="14"/>
            </w:rPr>
            <w:instrText xml:space="preserve"> PAGE </w:instrText>
          </w:r>
          <w:r w:rsidRPr="000F0791">
            <w:rPr>
              <w:rFonts w:ascii="Tahoma" w:hAnsi="Tahoma" w:cs="Tahoma"/>
              <w:sz w:val="14"/>
            </w:rPr>
            <w:fldChar w:fldCharType="separate"/>
          </w:r>
          <w:r w:rsidR="00EE6678">
            <w:rPr>
              <w:rFonts w:ascii="Tahoma" w:hAnsi="Tahoma" w:cs="Tahoma"/>
              <w:noProof/>
              <w:sz w:val="14"/>
            </w:rPr>
            <w:t>1</w:t>
          </w:r>
          <w:r w:rsidRPr="000F0791">
            <w:rPr>
              <w:rFonts w:ascii="Tahoma" w:hAnsi="Tahoma" w:cs="Tahoma"/>
              <w:sz w:val="14"/>
            </w:rPr>
            <w:fldChar w:fldCharType="end"/>
          </w:r>
          <w:r w:rsidRPr="000F0791">
            <w:rPr>
              <w:rFonts w:ascii="Tahoma" w:hAnsi="Tahoma" w:cs="Tahoma"/>
              <w:sz w:val="14"/>
            </w:rPr>
            <w:t xml:space="preserve"> z </w:t>
          </w:r>
          <w:r>
            <w:rPr>
              <w:rFonts w:ascii="Tahoma" w:hAnsi="Tahoma" w:cs="Tahoma"/>
              <w:sz w:val="14"/>
            </w:rPr>
            <w:t>3</w:t>
          </w:r>
          <w:r w:rsidRPr="000F0791">
            <w:rPr>
              <w:rFonts w:ascii="Tahoma" w:hAnsi="Tahoma" w:cs="Tahoma"/>
              <w:sz w:val="14"/>
            </w:rPr>
            <w:t>3</w:t>
          </w:r>
        </w:p>
      </w:tc>
    </w:tr>
    <w:tr w:rsidR="008664B7" w:rsidRPr="000F0791" w14:paraId="41DAFC50" w14:textId="77777777" w:rsidTr="00B3258F">
      <w:trPr>
        <w:cantSplit/>
        <w:trHeight w:val="459"/>
      </w:trPr>
      <w:tc>
        <w:tcPr>
          <w:tcW w:w="9193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0BBDB5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</w:rPr>
          </w:pPr>
          <w:r w:rsidRPr="000F0791">
            <w:rPr>
              <w:rFonts w:ascii="Tahoma" w:hAnsi="Tahoma" w:cs="Tahoma"/>
              <w:b/>
            </w:rPr>
            <w:t>Opis przedmiotu zamówienia</w:t>
          </w:r>
        </w:p>
      </w:tc>
    </w:tr>
  </w:tbl>
  <w:p w14:paraId="7BB9EE1E" w14:textId="72499030" w:rsidR="006B2931" w:rsidRDefault="006B2931" w:rsidP="008664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339B2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76BA1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B4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C195C90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05283"/>
    <w:multiLevelType w:val="hybridMultilevel"/>
    <w:tmpl w:val="E99CC2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4433D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651665A"/>
    <w:multiLevelType w:val="hybridMultilevel"/>
    <w:tmpl w:val="A6FEFE98"/>
    <w:lvl w:ilvl="0" w:tplc="FFFFFFFF">
      <w:numFmt w:val="bullet"/>
      <w:lvlText w:val=""/>
      <w:legacy w:legacy="1" w:legacySpace="0" w:legacyIndent="142"/>
      <w:lvlJc w:val="left"/>
      <w:pPr>
        <w:ind w:left="142" w:hanging="142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D514D"/>
    <w:multiLevelType w:val="multilevel"/>
    <w:tmpl w:val="843EA77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7D87288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73D5F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" w15:restartNumberingAfterBreak="0">
    <w:nsid w:val="19AC022E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55057"/>
    <w:multiLevelType w:val="hybridMultilevel"/>
    <w:tmpl w:val="E2CC60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8D4E60"/>
    <w:multiLevelType w:val="hybridMultilevel"/>
    <w:tmpl w:val="F1E47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F4A90"/>
    <w:multiLevelType w:val="hybridMultilevel"/>
    <w:tmpl w:val="23467C50"/>
    <w:lvl w:ilvl="0" w:tplc="9E1C238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91DFA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29734D3F"/>
    <w:multiLevelType w:val="hybridMultilevel"/>
    <w:tmpl w:val="5832CA04"/>
    <w:lvl w:ilvl="0" w:tplc="0415000F">
      <w:start w:val="1"/>
      <w:numFmt w:val="decimal"/>
      <w:lvlText w:val="%1."/>
      <w:lvlJc w:val="left"/>
      <w:pPr>
        <w:ind w:left="1026" w:hanging="360"/>
      </w:p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6" w15:restartNumberingAfterBreak="0">
    <w:nsid w:val="323D7BAC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75553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CD31A6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1D173C"/>
    <w:multiLevelType w:val="hybridMultilevel"/>
    <w:tmpl w:val="31B66764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 w15:restartNumberingAfterBreak="0">
    <w:nsid w:val="443F59C1"/>
    <w:multiLevelType w:val="hybridMultilevel"/>
    <w:tmpl w:val="8554677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21" w15:restartNumberingAfterBreak="0">
    <w:nsid w:val="4C2D24B3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2" w15:restartNumberingAfterBreak="0">
    <w:nsid w:val="50476743"/>
    <w:multiLevelType w:val="hybridMultilevel"/>
    <w:tmpl w:val="87FC4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695316"/>
    <w:multiLevelType w:val="hybridMultilevel"/>
    <w:tmpl w:val="7EB449D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 w15:restartNumberingAfterBreak="0">
    <w:nsid w:val="566B080D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5" w15:restartNumberingAfterBreak="0">
    <w:nsid w:val="6119540F"/>
    <w:multiLevelType w:val="hybridMultilevel"/>
    <w:tmpl w:val="01325C6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13F0A43"/>
    <w:multiLevelType w:val="hybridMultilevel"/>
    <w:tmpl w:val="D74E8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675E15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8" w15:restartNumberingAfterBreak="0">
    <w:nsid w:val="7B276AC5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25"/>
  </w:num>
  <w:num w:numId="4">
    <w:abstractNumId w:val="19"/>
  </w:num>
  <w:num w:numId="5">
    <w:abstractNumId w:val="20"/>
  </w:num>
  <w:num w:numId="6">
    <w:abstractNumId w:val="26"/>
  </w:num>
  <w:num w:numId="7">
    <w:abstractNumId w:val="15"/>
  </w:num>
  <w:num w:numId="8">
    <w:abstractNumId w:val="23"/>
  </w:num>
  <w:num w:numId="9">
    <w:abstractNumId w:val="16"/>
  </w:num>
  <w:num w:numId="10">
    <w:abstractNumId w:val="22"/>
  </w:num>
  <w:num w:numId="11">
    <w:abstractNumId w:val="13"/>
  </w:num>
  <w:num w:numId="12">
    <w:abstractNumId w:val="10"/>
  </w:num>
  <w:num w:numId="13">
    <w:abstractNumId w:val="17"/>
  </w:num>
  <w:num w:numId="14">
    <w:abstractNumId w:val="4"/>
  </w:num>
  <w:num w:numId="15">
    <w:abstractNumId w:val="8"/>
  </w:num>
  <w:num w:numId="16">
    <w:abstractNumId w:val="6"/>
  </w:num>
  <w:num w:numId="17">
    <w:abstractNumId w:val="0"/>
  </w:num>
  <w:num w:numId="18">
    <w:abstractNumId w:val="3"/>
  </w:num>
  <w:num w:numId="19">
    <w:abstractNumId w:val="18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7"/>
  </w:num>
  <w:num w:numId="23">
    <w:abstractNumId w:val="28"/>
  </w:num>
  <w:num w:numId="24">
    <w:abstractNumId w:val="5"/>
  </w:num>
  <w:num w:numId="25">
    <w:abstractNumId w:val="21"/>
  </w:num>
  <w:num w:numId="26">
    <w:abstractNumId w:val="14"/>
  </w:num>
  <w:num w:numId="27">
    <w:abstractNumId w:val="9"/>
  </w:num>
  <w:num w:numId="28">
    <w:abstractNumId w:val="24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76E"/>
    <w:rsid w:val="0000076E"/>
    <w:rsid w:val="000017CB"/>
    <w:rsid w:val="000045CD"/>
    <w:rsid w:val="0002335F"/>
    <w:rsid w:val="00046E06"/>
    <w:rsid w:val="00065525"/>
    <w:rsid w:val="000949FA"/>
    <w:rsid w:val="000B2436"/>
    <w:rsid w:val="000C4346"/>
    <w:rsid w:val="000D6874"/>
    <w:rsid w:val="00115805"/>
    <w:rsid w:val="00144ADA"/>
    <w:rsid w:val="00146AAA"/>
    <w:rsid w:val="00197DCA"/>
    <w:rsid w:val="001A4109"/>
    <w:rsid w:val="001B00B3"/>
    <w:rsid w:val="001B5116"/>
    <w:rsid w:val="001C68EE"/>
    <w:rsid w:val="001E7B84"/>
    <w:rsid w:val="00213E42"/>
    <w:rsid w:val="0023128E"/>
    <w:rsid w:val="00255D5E"/>
    <w:rsid w:val="0026456A"/>
    <w:rsid w:val="002674DB"/>
    <w:rsid w:val="0028321B"/>
    <w:rsid w:val="00293492"/>
    <w:rsid w:val="00296403"/>
    <w:rsid w:val="002A0F87"/>
    <w:rsid w:val="002C3F24"/>
    <w:rsid w:val="003031E4"/>
    <w:rsid w:val="0033194F"/>
    <w:rsid w:val="00376DFC"/>
    <w:rsid w:val="003951BC"/>
    <w:rsid w:val="003A55B9"/>
    <w:rsid w:val="003B3092"/>
    <w:rsid w:val="003C4E7F"/>
    <w:rsid w:val="003E5E3B"/>
    <w:rsid w:val="00413560"/>
    <w:rsid w:val="00440DEC"/>
    <w:rsid w:val="00446E53"/>
    <w:rsid w:val="004524D0"/>
    <w:rsid w:val="00475E32"/>
    <w:rsid w:val="00480BB5"/>
    <w:rsid w:val="0049708B"/>
    <w:rsid w:val="004E3F0A"/>
    <w:rsid w:val="004E5221"/>
    <w:rsid w:val="004E64FE"/>
    <w:rsid w:val="004F16DD"/>
    <w:rsid w:val="00520603"/>
    <w:rsid w:val="00530E9C"/>
    <w:rsid w:val="0053298C"/>
    <w:rsid w:val="005773F2"/>
    <w:rsid w:val="00587A1F"/>
    <w:rsid w:val="0059571B"/>
    <w:rsid w:val="005B2D8A"/>
    <w:rsid w:val="005C2FE7"/>
    <w:rsid w:val="005C3718"/>
    <w:rsid w:val="005C733C"/>
    <w:rsid w:val="005E6954"/>
    <w:rsid w:val="00612DF4"/>
    <w:rsid w:val="00620984"/>
    <w:rsid w:val="0065046D"/>
    <w:rsid w:val="006818FD"/>
    <w:rsid w:val="00682D63"/>
    <w:rsid w:val="0068521B"/>
    <w:rsid w:val="006B2931"/>
    <w:rsid w:val="006C7BCE"/>
    <w:rsid w:val="006E2FA0"/>
    <w:rsid w:val="006E5705"/>
    <w:rsid w:val="006F018C"/>
    <w:rsid w:val="00704C86"/>
    <w:rsid w:val="00714ACD"/>
    <w:rsid w:val="0072272D"/>
    <w:rsid w:val="007253CB"/>
    <w:rsid w:val="007263B7"/>
    <w:rsid w:val="00741B71"/>
    <w:rsid w:val="0078289C"/>
    <w:rsid w:val="007A3275"/>
    <w:rsid w:val="007A6A60"/>
    <w:rsid w:val="00834313"/>
    <w:rsid w:val="00836BD7"/>
    <w:rsid w:val="008434F4"/>
    <w:rsid w:val="0084686D"/>
    <w:rsid w:val="00847BD0"/>
    <w:rsid w:val="00854600"/>
    <w:rsid w:val="008613E3"/>
    <w:rsid w:val="00861C06"/>
    <w:rsid w:val="008664B7"/>
    <w:rsid w:val="00874F79"/>
    <w:rsid w:val="0088593E"/>
    <w:rsid w:val="008A088B"/>
    <w:rsid w:val="008C118F"/>
    <w:rsid w:val="008D1C57"/>
    <w:rsid w:val="008D5510"/>
    <w:rsid w:val="00927E7A"/>
    <w:rsid w:val="00932262"/>
    <w:rsid w:val="00967FA6"/>
    <w:rsid w:val="00992887"/>
    <w:rsid w:val="009B5EAA"/>
    <w:rsid w:val="009C378A"/>
    <w:rsid w:val="009D6FF7"/>
    <w:rsid w:val="009E4F3D"/>
    <w:rsid w:val="009F48EE"/>
    <w:rsid w:val="00A01A1F"/>
    <w:rsid w:val="00A1268C"/>
    <w:rsid w:val="00A2037F"/>
    <w:rsid w:val="00A21088"/>
    <w:rsid w:val="00A2425B"/>
    <w:rsid w:val="00A56EA2"/>
    <w:rsid w:val="00A730ED"/>
    <w:rsid w:val="00A82015"/>
    <w:rsid w:val="00A93F7D"/>
    <w:rsid w:val="00AA7956"/>
    <w:rsid w:val="00AB1E61"/>
    <w:rsid w:val="00AB2588"/>
    <w:rsid w:val="00AD0478"/>
    <w:rsid w:val="00AF5452"/>
    <w:rsid w:val="00B03D7A"/>
    <w:rsid w:val="00B0759C"/>
    <w:rsid w:val="00B206B9"/>
    <w:rsid w:val="00B26B43"/>
    <w:rsid w:val="00B37209"/>
    <w:rsid w:val="00B4259B"/>
    <w:rsid w:val="00B72DB3"/>
    <w:rsid w:val="00BA5261"/>
    <w:rsid w:val="00BB614E"/>
    <w:rsid w:val="00BF2306"/>
    <w:rsid w:val="00C1166B"/>
    <w:rsid w:val="00C14370"/>
    <w:rsid w:val="00C37591"/>
    <w:rsid w:val="00C3781F"/>
    <w:rsid w:val="00C5429F"/>
    <w:rsid w:val="00C55249"/>
    <w:rsid w:val="00CA76ED"/>
    <w:rsid w:val="00CC5E54"/>
    <w:rsid w:val="00CE3931"/>
    <w:rsid w:val="00CE6491"/>
    <w:rsid w:val="00D41179"/>
    <w:rsid w:val="00D426E6"/>
    <w:rsid w:val="00D56603"/>
    <w:rsid w:val="00D57CBC"/>
    <w:rsid w:val="00D675CE"/>
    <w:rsid w:val="00D96343"/>
    <w:rsid w:val="00DA5901"/>
    <w:rsid w:val="00DC1778"/>
    <w:rsid w:val="00E22D7B"/>
    <w:rsid w:val="00E46980"/>
    <w:rsid w:val="00E53345"/>
    <w:rsid w:val="00E53C4D"/>
    <w:rsid w:val="00E571C6"/>
    <w:rsid w:val="00E618C4"/>
    <w:rsid w:val="00EB269F"/>
    <w:rsid w:val="00EE4705"/>
    <w:rsid w:val="00EE6678"/>
    <w:rsid w:val="00EE6D77"/>
    <w:rsid w:val="00F016F8"/>
    <w:rsid w:val="00F04CA3"/>
    <w:rsid w:val="00F1090E"/>
    <w:rsid w:val="00F34185"/>
    <w:rsid w:val="00F54376"/>
    <w:rsid w:val="00F5487F"/>
    <w:rsid w:val="00F62E6F"/>
    <w:rsid w:val="00F66A53"/>
    <w:rsid w:val="00F93F34"/>
    <w:rsid w:val="00FA5EAD"/>
    <w:rsid w:val="00FC0107"/>
    <w:rsid w:val="00FC5380"/>
    <w:rsid w:val="00FD6A41"/>
    <w:rsid w:val="00FE4D56"/>
    <w:rsid w:val="00FE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DAC52B"/>
  <w15:chartTrackingRefBased/>
  <w15:docId w15:val="{C121D40E-F98F-4BFF-80D6-F47ED7DD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3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0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1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6D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Akapit z listą BS,L1,Akapit z listą5,Akapit normalny,Akapit z listą1,Kolorowa lista — akcent 11,List Paragraph2,CW_Lista,lp1,Preambuła,Dot pt,F5 List Paragraph,Recommendation,List Paragraph11,Podsis rysunku"/>
    <w:basedOn w:val="Normalny"/>
    <w:link w:val="AkapitzlistZnak"/>
    <w:uiPriority w:val="34"/>
    <w:qFormat/>
    <w:rsid w:val="00F04CA3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BB614E"/>
    <w:pPr>
      <w:spacing w:after="0" w:line="240" w:lineRule="auto"/>
    </w:pPr>
    <w:rPr>
      <w:rFonts w:ascii="Calibri" w:eastAsiaTheme="minorEastAsia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614E"/>
    <w:rPr>
      <w:rFonts w:ascii="Calibri" w:eastAsiaTheme="minorEastAsia" w:hAnsi="Calibri" w:cs="Times New Roman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3F2"/>
  </w:style>
  <w:style w:type="paragraph" w:styleId="Stopka">
    <w:name w:val="footer"/>
    <w:basedOn w:val="Normalny"/>
    <w:link w:val="Stopka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3F2"/>
  </w:style>
  <w:style w:type="paragraph" w:styleId="Tekstpodstawowy3">
    <w:name w:val="Body Text 3"/>
    <w:basedOn w:val="Normalny"/>
    <w:link w:val="Tekstpodstawowy3Znak"/>
    <w:uiPriority w:val="99"/>
    <w:rsid w:val="002645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6456A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264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L1 Znak,Akapit z listą5 Znak,Akapit normalny Znak,Akapit z listą1 Znak,Kolorowa lista — akcent 11 Znak,List Paragraph2 Znak,CW_Lista Znak,lp1 Znak,Preambuła Znak,Dot pt Znak"/>
    <w:link w:val="Akapitzlist"/>
    <w:uiPriority w:val="34"/>
    <w:qFormat/>
    <w:locked/>
    <w:rsid w:val="0026456A"/>
  </w:style>
  <w:style w:type="paragraph" w:customStyle="1" w:styleId="Bezodstpw1">
    <w:name w:val="Bez odstępów1"/>
    <w:uiPriority w:val="99"/>
    <w:rsid w:val="0026456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omynie">
    <w:name w:val="Domy徑nie"/>
    <w:uiPriority w:val="99"/>
    <w:rsid w:val="003C4E7F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Times New Roman" w:cs="Verdana"/>
      <w:kern w:val="2"/>
      <w:lang w:eastAsia="pl-PL"/>
    </w:rPr>
  </w:style>
  <w:style w:type="paragraph" w:styleId="Bezodstpw">
    <w:name w:val="No Spacing"/>
    <w:uiPriority w:val="1"/>
    <w:qFormat/>
    <w:rsid w:val="008664B7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78CBD-D287-4751-A731-40AF582E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934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Honoriusz Pierzchała</dc:creator>
  <cp:keywords/>
  <dc:description/>
  <cp:lastModifiedBy>personel</cp:lastModifiedBy>
  <cp:revision>3</cp:revision>
  <cp:lastPrinted>2023-08-02T05:24:00Z</cp:lastPrinted>
  <dcterms:created xsi:type="dcterms:W3CDTF">2024-10-10T05:38:00Z</dcterms:created>
  <dcterms:modified xsi:type="dcterms:W3CDTF">2025-02-28T05:51:00Z</dcterms:modified>
</cp:coreProperties>
</file>