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4DCCDDB8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115C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2560">
        <w:rPr>
          <w:rFonts w:asciiTheme="minorHAnsi" w:hAnsiTheme="minorHAnsi" w:cstheme="minorHAnsi"/>
          <w:b/>
          <w:sz w:val="24"/>
          <w:szCs w:val="24"/>
        </w:rPr>
        <w:t>RZP.271.06.2025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6E6E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E1E3B2C" w14:textId="77777777" w:rsidR="00D52560" w:rsidRDefault="00D52560" w:rsidP="006E6E2A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9E6D17">
        <w:rPr>
          <w:rFonts w:cs="Calibri"/>
          <w:b/>
          <w:sz w:val="24"/>
          <w:szCs w:val="24"/>
        </w:rPr>
        <w:t>Zagospodarowani</w:t>
      </w:r>
      <w:r>
        <w:rPr>
          <w:rFonts w:cs="Calibri"/>
          <w:b/>
          <w:sz w:val="24"/>
          <w:szCs w:val="24"/>
        </w:rPr>
        <w:t xml:space="preserve">e </w:t>
      </w:r>
      <w:r w:rsidRPr="009E6D17">
        <w:rPr>
          <w:rFonts w:cs="Calibri"/>
          <w:b/>
          <w:sz w:val="24"/>
          <w:szCs w:val="24"/>
        </w:rPr>
        <w:t>terenu w celu utworzenia kompleksu rekreacyjnego przy Jeziorze Pawłowskim – skrzyżowanie ul. Jeziornej z ul. Strumykową – Etap 1 w Łomiankach w ramach zadania inwestycyjnego pn. Realizacja błękitno - zielonej infrastruktury na terenie gminy Łomianki - zad. 2021/03</w:t>
      </w:r>
    </w:p>
    <w:p w14:paraId="68199740" w14:textId="330B934A" w:rsidR="00277287" w:rsidRPr="00892591" w:rsidRDefault="00277287" w:rsidP="006E6E2A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3A669C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D52560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65976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20E36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E6E2A"/>
    <w:rsid w:val="006F0034"/>
    <w:rsid w:val="006F3D32"/>
    <w:rsid w:val="00701FCF"/>
    <w:rsid w:val="007026B7"/>
    <w:rsid w:val="00704B1C"/>
    <w:rsid w:val="007115CE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47841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2560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72E1E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B37E-4D8A-4B43-991F-D147F589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35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45</cp:revision>
  <cp:lastPrinted>2021-09-14T08:03:00Z</cp:lastPrinted>
  <dcterms:created xsi:type="dcterms:W3CDTF">2021-02-02T07:24:00Z</dcterms:created>
  <dcterms:modified xsi:type="dcterms:W3CDTF">2025-03-26T09:26:00Z</dcterms:modified>
</cp:coreProperties>
</file>