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4016B6EC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ED70FF">
        <w:rPr>
          <w:rFonts w:cstheme="minorHAnsi"/>
          <w:b/>
        </w:rPr>
        <w:t>6</w:t>
      </w:r>
      <w:r w:rsidR="008A186A">
        <w:rPr>
          <w:rFonts w:cstheme="minorHAnsi"/>
          <w:b/>
        </w:rPr>
        <w:t>b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22A52B9A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475757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475757">
        <w:rPr>
          <w:rFonts w:cstheme="minorHAnsi"/>
          <w:b/>
          <w:smallCaps/>
          <w:color w:val="00000A"/>
          <w:sz w:val="32"/>
        </w:rPr>
        <w:t>4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AD38A9">
        <w:rPr>
          <w:rFonts w:cstheme="minorHAnsi"/>
          <w:b/>
          <w:smallCaps/>
          <w:color w:val="00000A"/>
          <w:sz w:val="32"/>
        </w:rPr>
        <w:t>b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7D737CDF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475757">
        <w:rPr>
          <w:rFonts w:cstheme="minorHAnsi"/>
          <w:b/>
          <w:color w:val="00000A"/>
          <w:sz w:val="24"/>
        </w:rPr>
        <w:t>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7B8F9600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475757">
        <w:rPr>
          <w:rFonts w:cstheme="minorHAnsi"/>
        </w:rPr>
        <w:t>Tomaszem Sołtysem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1744B401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9B29A6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4ABE946E" w:rsidR="00717B05" w:rsidRPr="00D86602" w:rsidRDefault="00AD38A9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 xml:space="preserve">Zagospodarowanie odpadów komunalnych zebranych z terenu Gminy Dobrzeń Wielki oraz gminnego </w:t>
      </w:r>
      <w:r w:rsidR="00996DD9">
        <w:rPr>
          <w:rFonts w:cstheme="minorHAnsi"/>
          <w:b/>
          <w:bCs/>
          <w:sz w:val="28"/>
          <w:szCs w:val="24"/>
          <w:u w:val="single"/>
        </w:rPr>
        <w:t>Punktu Selektywnej Zbiórki Odpadów Komunalnych</w:t>
      </w:r>
      <w:r w:rsidR="00720F9B">
        <w:rPr>
          <w:rFonts w:cstheme="minorHAnsi"/>
          <w:b/>
          <w:bCs/>
          <w:sz w:val="28"/>
          <w:szCs w:val="24"/>
          <w:u w:val="single"/>
        </w:rPr>
        <w:t xml:space="preserve"> w 202</w:t>
      </w:r>
      <w:r w:rsidR="00475757">
        <w:rPr>
          <w:rFonts w:cstheme="minorHAnsi"/>
          <w:b/>
          <w:bCs/>
          <w:sz w:val="28"/>
          <w:szCs w:val="24"/>
          <w:u w:val="single"/>
        </w:rPr>
        <w:t>5</w:t>
      </w:r>
      <w:r w:rsidR="00720F9B">
        <w:rPr>
          <w:rFonts w:cstheme="minorHAnsi"/>
          <w:b/>
          <w:bCs/>
          <w:sz w:val="28"/>
          <w:szCs w:val="24"/>
          <w:u w:val="single"/>
        </w:rPr>
        <w:t>r.</w:t>
      </w:r>
      <w:r w:rsidR="00D86602">
        <w:rPr>
          <w:rFonts w:cstheme="minorHAnsi"/>
          <w:b/>
          <w:bCs/>
          <w:sz w:val="28"/>
          <w:szCs w:val="24"/>
          <w:u w:val="single"/>
        </w:rPr>
        <w:t xml:space="preserve"> – odpady o kodach 20 02 01 i 20 01 08</w:t>
      </w:r>
      <w:r w:rsidRPr="001C4E23">
        <w:rPr>
          <w:rFonts w:cstheme="minorHAnsi"/>
          <w:b/>
          <w:bCs/>
          <w:sz w:val="28"/>
          <w:szCs w:val="24"/>
          <w:u w:val="single"/>
        </w:rPr>
        <w:t>”</w:t>
      </w:r>
      <w:r w:rsidR="00D86602">
        <w:rPr>
          <w:rFonts w:cstheme="minorHAnsi"/>
          <w:b/>
          <w:bCs/>
          <w:sz w:val="28"/>
          <w:szCs w:val="24"/>
        </w:rPr>
        <w:t xml:space="preserve"> (część nr 2)</w:t>
      </w:r>
    </w:p>
    <w:p w14:paraId="7ABF9D42" w14:textId="77777777" w:rsidR="00D86602" w:rsidRDefault="00D86602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565BAE5" w:rsidR="00344EE4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0C511C6D" w14:textId="77777777" w:rsidR="00475757" w:rsidRDefault="00475757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1EBC3A9F" w14:textId="77777777" w:rsidR="00475757" w:rsidRPr="001B052E" w:rsidRDefault="00475757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2C52A3DF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594DFD">
        <w:rPr>
          <w:rFonts w:cstheme="minorHAnsi"/>
          <w:color w:val="00000A"/>
          <w:lang w:eastAsia="zh-CN" w:bidi="hi-IN"/>
        </w:rPr>
        <w:t>ach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62117F" w:rsidRPr="00637B7D">
        <w:rPr>
          <w:rFonts w:cstheme="minorHAnsi"/>
          <w:b/>
          <w:bCs/>
          <w:color w:val="00000A"/>
          <w:lang w:eastAsia="zh-CN" w:bidi="hi-IN"/>
        </w:rPr>
        <w:t>20 0</w:t>
      </w:r>
      <w:r w:rsidR="00594DFD">
        <w:rPr>
          <w:rFonts w:cstheme="minorHAnsi"/>
          <w:b/>
          <w:bCs/>
          <w:color w:val="00000A"/>
          <w:lang w:eastAsia="zh-CN" w:bidi="hi-IN"/>
        </w:rPr>
        <w:t>2</w:t>
      </w:r>
      <w:r w:rsidR="0062117F" w:rsidRPr="00637B7D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62117F">
        <w:rPr>
          <w:rFonts w:cstheme="minorHAnsi"/>
          <w:b/>
          <w:bCs/>
          <w:color w:val="00000A"/>
          <w:lang w:eastAsia="zh-CN" w:bidi="hi-IN"/>
        </w:rPr>
        <w:t>0</w:t>
      </w:r>
      <w:r w:rsidR="00594DFD">
        <w:rPr>
          <w:rFonts w:cstheme="minorHAnsi"/>
          <w:b/>
          <w:bCs/>
          <w:color w:val="00000A"/>
          <w:lang w:eastAsia="zh-CN" w:bidi="hi-IN"/>
        </w:rPr>
        <w:t>1</w:t>
      </w:r>
      <w:r w:rsidR="00D86602">
        <w:rPr>
          <w:rFonts w:cstheme="minorHAnsi"/>
          <w:b/>
          <w:bCs/>
          <w:color w:val="00000A"/>
          <w:lang w:eastAsia="zh-CN" w:bidi="hi-IN"/>
        </w:rPr>
        <w:t xml:space="preserve"> – odpady ulegające biodegradacji</w:t>
      </w:r>
      <w:r w:rsidR="0005711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05711F">
        <w:rPr>
          <w:rFonts w:cstheme="minorHAnsi"/>
          <w:color w:val="00000A"/>
          <w:lang w:eastAsia="zh-CN" w:bidi="hi-IN"/>
        </w:rPr>
        <w:t xml:space="preserve">i </w:t>
      </w:r>
      <w:r w:rsidR="0005711F">
        <w:rPr>
          <w:rFonts w:cstheme="minorHAnsi"/>
          <w:b/>
          <w:bCs/>
          <w:color w:val="00000A"/>
          <w:lang w:eastAsia="zh-CN" w:bidi="hi-IN"/>
        </w:rPr>
        <w:t>20 01 08</w:t>
      </w:r>
      <w:r w:rsidR="00D86602">
        <w:rPr>
          <w:rFonts w:cstheme="minorHAnsi"/>
          <w:b/>
          <w:bCs/>
          <w:color w:val="00000A"/>
          <w:lang w:eastAsia="zh-CN" w:bidi="hi-IN"/>
        </w:rPr>
        <w:t xml:space="preserve"> – odpady kuchenne ulegające biodegradacji,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Przyjmowanie odpadów odbywać się będzie w dniach od poniedziałku do piątku w godzinach od ………… do ………..</w:t>
      </w:r>
      <w:r w:rsidR="00637B7D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512B7B28" w:rsidR="00E469F7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</w:t>
      </w:r>
      <w:r w:rsidR="00720F9B">
        <w:rPr>
          <w:rFonts w:cstheme="minorHAnsi"/>
          <w:color w:val="00000A"/>
          <w:lang w:eastAsia="zh-CN" w:bidi="hi-IN"/>
        </w:rPr>
        <w:t xml:space="preserve">będzie </w:t>
      </w:r>
      <w:r>
        <w:rPr>
          <w:rFonts w:cstheme="minorHAnsi"/>
          <w:color w:val="00000A"/>
          <w:lang w:eastAsia="zh-CN" w:bidi="hi-IN"/>
        </w:rPr>
        <w:t>dostarcz</w:t>
      </w:r>
      <w:r w:rsidR="00720F9B">
        <w:rPr>
          <w:rFonts w:cstheme="minorHAnsi"/>
          <w:color w:val="00000A"/>
          <w:lang w:eastAsia="zh-CN" w:bidi="hi-IN"/>
        </w:rPr>
        <w:t>ał</w:t>
      </w:r>
      <w:r>
        <w:rPr>
          <w:rFonts w:cstheme="minorHAnsi"/>
          <w:color w:val="00000A"/>
          <w:lang w:eastAsia="zh-CN" w:bidi="hi-IN"/>
        </w:rPr>
        <w:t xml:space="preserve"> Wykonawcy</w:t>
      </w:r>
      <w:r w:rsidR="00720F9B">
        <w:rPr>
          <w:rFonts w:cstheme="minorHAnsi"/>
          <w:color w:val="00000A"/>
          <w:lang w:eastAsia="zh-CN" w:bidi="hi-IN"/>
        </w:rPr>
        <w:t xml:space="preserve"> odpady sukcesywnie</w:t>
      </w:r>
      <w:r w:rsidR="004E1F7F">
        <w:rPr>
          <w:rFonts w:cstheme="minorHAnsi"/>
          <w:color w:val="00000A"/>
          <w:lang w:eastAsia="zh-CN" w:bidi="hi-IN"/>
        </w:rPr>
        <w:t xml:space="preserve"> w okresie obowiązywania umowy</w:t>
      </w:r>
      <w:r w:rsidR="00720F9B">
        <w:rPr>
          <w:rFonts w:cstheme="minorHAnsi"/>
          <w:color w:val="00000A"/>
          <w:lang w:eastAsia="zh-CN" w:bidi="hi-IN"/>
        </w:rPr>
        <w:t>,</w:t>
      </w:r>
      <w:r>
        <w:rPr>
          <w:rFonts w:cstheme="minorHAnsi"/>
          <w:color w:val="00000A"/>
          <w:lang w:eastAsia="zh-CN" w:bidi="hi-IN"/>
        </w:rPr>
        <w:t xml:space="preserve"> w szacowanych </w:t>
      </w:r>
      <w:r w:rsidR="006D6614">
        <w:rPr>
          <w:rFonts w:cstheme="minorHAnsi"/>
          <w:color w:val="00000A"/>
          <w:lang w:eastAsia="zh-CN" w:bidi="hi-IN"/>
        </w:rPr>
        <w:t>miesięcznych</w:t>
      </w:r>
      <w:r w:rsidR="00720F9B">
        <w:rPr>
          <w:rFonts w:cstheme="minorHAnsi"/>
          <w:color w:val="00000A"/>
          <w:lang w:eastAsia="zh-CN" w:bidi="hi-IN"/>
        </w:rPr>
        <w:t xml:space="preserve"> ilościach</w:t>
      </w:r>
      <w:r w:rsidR="006D6614">
        <w:rPr>
          <w:rFonts w:cstheme="minorHAnsi"/>
          <w:color w:val="00000A"/>
          <w:lang w:eastAsia="zh-CN" w:bidi="hi-IN"/>
        </w:rPr>
        <w:t xml:space="preserve"> </w:t>
      </w:r>
      <w:r>
        <w:rPr>
          <w:rFonts w:cstheme="minorHAnsi"/>
          <w:color w:val="00000A"/>
          <w:lang w:eastAsia="zh-CN" w:bidi="hi-IN"/>
        </w:rPr>
        <w:t xml:space="preserve">równych: </w:t>
      </w:r>
    </w:p>
    <w:p w14:paraId="62E1DFF8" w14:textId="34AA8A53" w:rsidR="001D5F34" w:rsidRDefault="001D5F34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Odpady o kodzie 20 0</w:t>
      </w:r>
      <w:r w:rsidR="00594DFD">
        <w:rPr>
          <w:rFonts w:cstheme="minorHAnsi"/>
          <w:color w:val="00000A"/>
          <w:lang w:eastAsia="zh-CN" w:bidi="hi-IN"/>
        </w:rPr>
        <w:t>2</w:t>
      </w:r>
      <w:r>
        <w:rPr>
          <w:rFonts w:cstheme="minorHAnsi"/>
          <w:color w:val="00000A"/>
          <w:lang w:eastAsia="zh-CN" w:bidi="hi-IN"/>
        </w:rPr>
        <w:t xml:space="preserve"> 01 –  </w:t>
      </w:r>
      <w:r w:rsidRPr="009059A1">
        <w:rPr>
          <w:rFonts w:cstheme="minorHAnsi"/>
          <w:b/>
          <w:bCs/>
          <w:color w:val="00000A"/>
          <w:lang w:eastAsia="zh-CN" w:bidi="hi-IN"/>
        </w:rPr>
        <w:t>…………. Mg</w:t>
      </w:r>
      <w:r w:rsidR="006D6614" w:rsidRPr="009059A1">
        <w:rPr>
          <w:rFonts w:cstheme="minorHAnsi"/>
          <w:b/>
          <w:bCs/>
          <w:color w:val="00000A"/>
          <w:lang w:eastAsia="zh-CN" w:bidi="hi-IN"/>
        </w:rPr>
        <w:t>/miesiąc</w:t>
      </w:r>
      <w:r>
        <w:rPr>
          <w:rFonts w:cstheme="minorHAnsi"/>
          <w:color w:val="00000A"/>
          <w:lang w:eastAsia="zh-CN" w:bidi="hi-IN"/>
        </w:rPr>
        <w:t>,</w:t>
      </w:r>
    </w:p>
    <w:p w14:paraId="1C5B24F6" w14:textId="2754AA3D" w:rsidR="001D5F34" w:rsidRDefault="001D5F34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Odpady o kodzie 20 0</w:t>
      </w:r>
      <w:r w:rsidR="00594DFD">
        <w:rPr>
          <w:rFonts w:cstheme="minorHAnsi"/>
          <w:color w:val="00000A"/>
          <w:lang w:eastAsia="zh-CN" w:bidi="hi-IN"/>
        </w:rPr>
        <w:t>1</w:t>
      </w:r>
      <w:r>
        <w:rPr>
          <w:rFonts w:cstheme="minorHAnsi"/>
          <w:color w:val="00000A"/>
          <w:lang w:eastAsia="zh-CN" w:bidi="hi-IN"/>
        </w:rPr>
        <w:t xml:space="preserve"> 0</w:t>
      </w:r>
      <w:r w:rsidR="00594DFD">
        <w:rPr>
          <w:rFonts w:cstheme="minorHAnsi"/>
          <w:color w:val="00000A"/>
          <w:lang w:eastAsia="zh-CN" w:bidi="hi-IN"/>
        </w:rPr>
        <w:t>8</w:t>
      </w:r>
      <w:r>
        <w:rPr>
          <w:rFonts w:cstheme="minorHAnsi"/>
          <w:color w:val="00000A"/>
          <w:lang w:eastAsia="zh-CN" w:bidi="hi-IN"/>
        </w:rPr>
        <w:t xml:space="preserve"> –  </w:t>
      </w:r>
      <w:r w:rsidRPr="009059A1">
        <w:rPr>
          <w:rFonts w:cstheme="minorHAnsi"/>
          <w:b/>
          <w:bCs/>
          <w:color w:val="00000A"/>
          <w:lang w:eastAsia="zh-CN" w:bidi="hi-IN"/>
        </w:rPr>
        <w:t>…………. Mg</w:t>
      </w:r>
      <w:r w:rsidR="006D6614" w:rsidRPr="009059A1">
        <w:rPr>
          <w:rFonts w:cstheme="minorHAnsi"/>
          <w:b/>
          <w:bCs/>
          <w:color w:val="00000A"/>
          <w:lang w:eastAsia="zh-CN" w:bidi="hi-IN"/>
        </w:rPr>
        <w:t>/miesiąc</w:t>
      </w:r>
      <w:r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odbioru odpadów przez Zamawiającego na jego koszt i ryzyko. Zamawiający jest wówczas zobowiązany 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5704D677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Odpad o kodzie 20 0</w:t>
      </w:r>
      <w:r w:rsidR="005C2D0D">
        <w:rPr>
          <w:rFonts w:eastAsia="Arial Unicode MS" w:cstheme="minorHAnsi"/>
          <w:color w:val="000000"/>
          <w:lang w:eastAsia="zh-CN" w:bidi="hi-IN"/>
        </w:rPr>
        <w:t>2</w:t>
      </w:r>
      <w:r>
        <w:rPr>
          <w:rFonts w:eastAsia="Arial Unicode MS" w:cstheme="minorHAnsi"/>
          <w:color w:val="000000"/>
          <w:lang w:eastAsia="zh-CN" w:bidi="hi-IN"/>
        </w:rPr>
        <w:t xml:space="preserve"> 01 -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>
        <w:rPr>
          <w:rFonts w:eastAsia="Arial Unicode MS" w:cstheme="minorHAnsi"/>
          <w:color w:val="000000"/>
          <w:lang w:eastAsia="zh-CN" w:bidi="hi-IN"/>
        </w:rPr>
        <w:t>,</w:t>
      </w:r>
    </w:p>
    <w:p w14:paraId="5C085289" w14:textId="28D84368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7" w:hanging="283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Odpad o kodzie 20 0</w:t>
      </w:r>
      <w:r w:rsidR="005C2D0D">
        <w:rPr>
          <w:rFonts w:eastAsia="Arial Unicode MS" w:cstheme="minorHAnsi"/>
          <w:color w:val="000000"/>
          <w:lang w:eastAsia="zh-CN" w:bidi="hi-IN"/>
        </w:rPr>
        <w:t>1</w:t>
      </w:r>
      <w:r>
        <w:rPr>
          <w:rFonts w:eastAsia="Arial Unicode MS" w:cstheme="minorHAnsi"/>
          <w:color w:val="000000"/>
          <w:lang w:eastAsia="zh-CN" w:bidi="hi-IN"/>
        </w:rPr>
        <w:t xml:space="preserve"> 0</w:t>
      </w:r>
      <w:r w:rsidR="005C2D0D">
        <w:rPr>
          <w:rFonts w:eastAsia="Arial Unicode MS" w:cstheme="minorHAnsi"/>
          <w:color w:val="000000"/>
          <w:lang w:eastAsia="zh-CN" w:bidi="hi-IN"/>
        </w:rPr>
        <w:t>8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………………….. zł netto/Mg</w:t>
      </w:r>
      <w:r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>). Wysokość opłat należnych za przekazanie różnych rodzajów odpadów w danym okresie rozliczeniowym sumuje się.</w:t>
      </w:r>
    </w:p>
    <w:p w14:paraId="19119F08" w14:textId="45E9494C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9059A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9059A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D34265C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 xml:space="preserve">Wykonawca oświadcza, że ceny </w:t>
      </w:r>
      <w:r w:rsidR="00401887">
        <w:rPr>
          <w:rFonts w:eastAsia="Arial Unicode MS" w:cstheme="minorHAnsi"/>
          <w:lang w:eastAsia="zh-CN" w:bidi="hi-IN"/>
        </w:rPr>
        <w:t xml:space="preserve">jednostkowe </w:t>
      </w:r>
      <w:r w:rsidRPr="008A74C4">
        <w:rPr>
          <w:rFonts w:eastAsia="Arial Unicode MS" w:cstheme="minorHAnsi"/>
          <w:lang w:eastAsia="zh-CN" w:bidi="hi-IN"/>
        </w:rPr>
        <w:t>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</w:t>
      </w:r>
      <w:r w:rsidRPr="00CF3A72">
        <w:rPr>
          <w:rFonts w:eastAsia="Arial Unicode MS" w:cstheme="minorHAnsi"/>
          <w:color w:val="000000"/>
          <w:lang w:eastAsia="zh-CN" w:bidi="hi-IN"/>
        </w:rPr>
        <w:lastRenderedPageBreak/>
        <w:t xml:space="preserve">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51C262AF" w:rsidR="002C5FFF" w:rsidRPr="00A623DC" w:rsidRDefault="002C5FFF" w:rsidP="00720F9B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</w:t>
      </w:r>
      <w:r w:rsidR="00720F9B" w:rsidRPr="00B10B9E">
        <w:rPr>
          <w:rFonts w:eastAsia="Arial Unicode MS" w:cstheme="minorHAnsi"/>
          <w:lang w:eastAsia="zh-CN" w:bidi="hi-IN"/>
        </w:rPr>
        <w:t>oświadcza, że zgodnie z art. 27 ust. 2 ustawy z dnia 14 grudnia 2012 r. o odpadach posiada wszelkie decyzje i zezwolenia niezbędne w celu realizacji przedmiotu zamówienia.</w:t>
      </w:r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rodzaj lub sposób gospodarowania odpadami nie jest określony w posiadanych uprawnieniach </w:t>
      </w:r>
      <w:r w:rsidRPr="00CF3A72">
        <w:rPr>
          <w:rFonts w:cstheme="minorHAnsi"/>
          <w:color w:val="00000A"/>
          <w:lang w:eastAsia="zh-CN" w:bidi="hi-IN"/>
        </w:rPr>
        <w:lastRenderedPageBreak/>
        <w:t>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2D46FC98" w:rsidR="00F908C4" w:rsidRPr="00600CB3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17551FCC" w14:textId="30FA8324" w:rsidR="00F908C4" w:rsidRPr="00B8464C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B8464C">
        <w:rPr>
          <w:rFonts w:cstheme="minorHAnsi"/>
          <w:lang w:eastAsia="zh-CN" w:bidi="hi-IN"/>
        </w:rPr>
        <w:t>Zamawiający dostarczy do instalacji przetwarzania o co najmniej 25% więcej odpadów niż średnia miesięczna ilość odpadów danej frakcji określona</w:t>
      </w:r>
      <w:r w:rsidR="00592439" w:rsidRPr="00B8464C">
        <w:rPr>
          <w:rFonts w:cstheme="minorHAnsi"/>
          <w:lang w:eastAsia="zh-CN" w:bidi="hi-IN"/>
        </w:rPr>
        <w:t xml:space="preserve"> w </w:t>
      </w:r>
      <w:r w:rsidRPr="00B8464C">
        <w:rPr>
          <w:rFonts w:cstheme="minorHAnsi"/>
          <w:lang w:eastAsia="zh-CN" w:bidi="hi-IN"/>
        </w:rPr>
        <w:t xml:space="preserve"> </w:t>
      </w:r>
      <w:r w:rsidR="00592439" w:rsidRPr="00B8464C">
        <w:rPr>
          <w:rFonts w:cstheme="minorHAnsi"/>
          <w:lang w:eastAsia="zh-CN" w:bidi="hi-IN"/>
        </w:rPr>
        <w:t xml:space="preserve">§ 1 ust. </w:t>
      </w:r>
      <w:r w:rsidR="00B8464C">
        <w:rPr>
          <w:rFonts w:cstheme="minorHAnsi"/>
          <w:lang w:eastAsia="zh-CN" w:bidi="hi-IN"/>
        </w:rPr>
        <w:t>3</w:t>
      </w:r>
      <w:r w:rsidR="00592439" w:rsidRPr="00B8464C">
        <w:rPr>
          <w:rFonts w:cstheme="minorHAnsi"/>
          <w:lang w:eastAsia="zh-CN" w:bidi="hi-IN"/>
        </w:rPr>
        <w:t xml:space="preserve"> niniejszej umowy, w danym lub poprzednich miesiącach kalendarzowych.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019B6C41" w14:textId="0ADBD27F" w:rsidR="00AD5DA1" w:rsidRPr="00AD5DA1" w:rsidRDefault="00AD5DA1" w:rsidP="00AD5DA1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00CB3">
        <w:rPr>
          <w:rFonts w:cstheme="minorHAnsi"/>
          <w:lang w:eastAsia="zh-CN" w:bidi="hi-IN"/>
        </w:rPr>
        <w:t xml:space="preserve">Wykonawca zobowiązany jest do świadczenia usługi w sposób zapewniający osiągnięcie poziomów </w:t>
      </w:r>
      <w:r w:rsidRPr="00AD5DA1">
        <w:rPr>
          <w:rFonts w:cstheme="minorHAnsi"/>
          <w:color w:val="00000A"/>
          <w:lang w:eastAsia="zh-CN" w:bidi="hi-IN"/>
        </w:rPr>
        <w:t>recyklingu i przygotowania do ponownego użycia odpadów komunalnych oraz poziomu ograniczenia masy odpadów komunalnych ulegających biodegradacji przekazywanych do składowania zgodnie z aktualnie obowiązującymi zapisami ustawy z dnia 13 września 1996 r. o utrzymaniu czystości i porządku w gminach oraz aktualnie obowiązującymi aktami wykonawczymi do powyższej ustawy. Osiągnięte poziomy zostaną obliczone na podstawie aktów wykonawczych ww. ustawy.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lastRenderedPageBreak/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57D4C116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4FB48984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47575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475757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475757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5C0C62AB" w14:textId="77777777" w:rsidR="00475757" w:rsidRDefault="00475757" w:rsidP="00475757">
      <w:pPr>
        <w:spacing w:after="120" w:line="276" w:lineRule="auto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768FB992" w14:textId="77777777" w:rsidR="00475757" w:rsidRPr="00475757" w:rsidRDefault="00475757" w:rsidP="00475757">
      <w:pPr>
        <w:spacing w:after="120" w:line="276" w:lineRule="auto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3EF8B121" w14:textId="48397BB3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lastRenderedPageBreak/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77777777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2CF1A4B" w14:textId="77777777" w:rsidR="00475757" w:rsidRDefault="00475757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5E305349" w14:textId="77777777" w:rsidR="00475757" w:rsidRDefault="00475757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7EF7FF85" w14:textId="77777777" w:rsidR="00475757" w:rsidRDefault="00475757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B1286A8" w14:textId="77777777" w:rsidR="00475757" w:rsidRDefault="00475757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bookmarkStart w:id="0" w:name="_GoBack"/>
      <w:bookmarkEnd w:id="0"/>
    </w:p>
    <w:p w14:paraId="07F5F140" w14:textId="77777777" w:rsidR="00720F9B" w:rsidRDefault="00720F9B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0F84A26C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1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1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lastRenderedPageBreak/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4D726DB2" w14:textId="77777777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CFDE68" w14:textId="469424E8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3C58AC0D" w14:textId="30CD4B69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ED2C912" w14:textId="77777777" w:rsidR="004C7A0D" w:rsidRDefault="004C7A0D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6C83D7EA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8FF1BCE" w14:textId="77777777" w:rsidR="00F613F5" w:rsidRPr="00F613F5" w:rsidRDefault="00F613F5" w:rsidP="00C30D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562723B4" w14:textId="3691A5A8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C8CDBC7" w14:textId="12D8082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4BEB0F8" w14:textId="2297CEEC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4E9E962" w14:textId="0CAB308B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E71F31B" w14:textId="1488058A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149317C" w14:textId="2FFC3E49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AEE40FF" w14:textId="2140659C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86C599" w14:textId="535753B3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832E10D" w14:textId="32F0A68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53298EF" w14:textId="1121F2A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E65A9E2" w14:textId="7D3321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2D88341C" w14:textId="5D43F328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2D42F55" w14:textId="712895A2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D016C2D" w14:textId="7A9FCBCB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F5A1598" w14:textId="1DFB42F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B448992" w14:textId="1F5E7457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5A20055" w14:textId="32F35E5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D7843C5" w14:textId="24243FCC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DB039E5" w14:textId="645CF71B" w:rsidR="00720F9B" w:rsidRDefault="00720F9B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D80ACA2" w14:textId="03D68101" w:rsidR="00E900A1" w:rsidRDefault="00E900A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71FAC0C" w14:textId="75183A66" w:rsidR="00317F4D" w:rsidRDefault="00317F4D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D85466D" w14:textId="3CEBA8AD" w:rsidR="00317F4D" w:rsidRDefault="00317F4D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7B2CFF6" w14:textId="61E0E569" w:rsidR="00317F4D" w:rsidRDefault="00317F4D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BCDCD35" w14:textId="77777777" w:rsidR="00317F4D" w:rsidRDefault="00317F4D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2F574F6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t>Załącznik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2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2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3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3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4"/>
    <w:p w14:paraId="6ECE026F" w14:textId="1A443066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lastRenderedPageBreak/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9B29A6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9B29A6">
        <w:rPr>
          <w:sz w:val="20"/>
          <w:szCs w:val="20"/>
        </w:rPr>
        <w:t>3/B</w:t>
      </w:r>
      <w:r w:rsidRPr="005716C1">
        <w:rPr>
          <w:sz w:val="20"/>
          <w:szCs w:val="20"/>
        </w:rPr>
        <w:t xml:space="preserve">, której przedmiotem jest  </w:t>
      </w:r>
      <w:r w:rsidR="00D86602" w:rsidRPr="00D86602">
        <w:rPr>
          <w:sz w:val="20"/>
          <w:szCs w:val="20"/>
        </w:rPr>
        <w:t>„Zagospodarowanie odpadów komunalnych zebranych z terenu Gminy Dobrzeń Wielki oraz gminnego Punktu Selektywnej Zbiórki Odpadów Komunalnych w 2024r. – odpady o kodach 20 02 01 i 20 01 08”</w:t>
      </w:r>
      <w:r w:rsidRPr="005716C1">
        <w:rPr>
          <w:sz w:val="20"/>
          <w:szCs w:val="20"/>
        </w:rPr>
        <w:t>, zawartej pomiędzy Spółką 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5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7" w:name="_Hlk2619221"/>
      <w:bookmarkEnd w:id="6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7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8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8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9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lastRenderedPageBreak/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7D2C3" w14:textId="77777777" w:rsidR="00307F80" w:rsidRDefault="00307F80" w:rsidP="00205787">
      <w:pPr>
        <w:spacing w:after="0" w:line="240" w:lineRule="auto"/>
      </w:pPr>
      <w:r>
        <w:separator/>
      </w:r>
    </w:p>
  </w:endnote>
  <w:endnote w:type="continuationSeparator" w:id="0">
    <w:p w14:paraId="45D26DF9" w14:textId="77777777" w:rsidR="00307F80" w:rsidRDefault="00307F80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3123701"/>
      <w:docPartObj>
        <w:docPartGallery w:val="Page Numbers (Bottom of Page)"/>
        <w:docPartUnique/>
      </w:docPartObj>
    </w:sdtPr>
    <w:sdtEndPr/>
    <w:sdtContent>
      <w:p w14:paraId="4463D399" w14:textId="196EEFAB" w:rsidR="00720F9B" w:rsidRDefault="00720F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757">
          <w:rPr>
            <w:noProof/>
          </w:rPr>
          <w:t>12</w:t>
        </w:r>
        <w:r>
          <w:fldChar w:fldCharType="end"/>
        </w:r>
      </w:p>
    </w:sdtContent>
  </w:sdt>
  <w:p w14:paraId="1CEB79E7" w14:textId="77777777" w:rsidR="00720F9B" w:rsidRDefault="00720F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669A6B8E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757">
          <w:rPr>
            <w:noProof/>
          </w:rPr>
          <w:t>1</w:t>
        </w:r>
        <w:r>
          <w:fldChar w:fldCharType="end"/>
        </w:r>
        <w:r w:rsidR="00E900A1">
          <w:t>4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E2856" w14:textId="77777777" w:rsidR="00307F80" w:rsidRDefault="00307F80" w:rsidP="00205787">
      <w:pPr>
        <w:spacing w:after="0" w:line="240" w:lineRule="auto"/>
      </w:pPr>
      <w:r>
        <w:separator/>
      </w:r>
    </w:p>
  </w:footnote>
  <w:footnote w:type="continuationSeparator" w:id="0">
    <w:p w14:paraId="2C2ACC12" w14:textId="77777777" w:rsidR="00307F80" w:rsidRDefault="00307F80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7BA2CB2E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475757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475757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475757">
      <w:rPr>
        <w:sz w:val="16"/>
        <w:u w:val="single"/>
      </w:rPr>
      <w:t>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339BA0D9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9B29A6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9B29A6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9B29A6">
      <w:rPr>
        <w:sz w:val="16"/>
        <w:u w:val="single"/>
      </w:rPr>
      <w:t>4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F01EC"/>
    <w:rsid w:val="000F4C62"/>
    <w:rsid w:val="001265E6"/>
    <w:rsid w:val="00142A6D"/>
    <w:rsid w:val="0014542B"/>
    <w:rsid w:val="001454C5"/>
    <w:rsid w:val="00167C24"/>
    <w:rsid w:val="001A5698"/>
    <w:rsid w:val="001A61BA"/>
    <w:rsid w:val="001B052E"/>
    <w:rsid w:val="001B0C79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737B"/>
    <w:rsid w:val="00303574"/>
    <w:rsid w:val="00303823"/>
    <w:rsid w:val="003072EB"/>
    <w:rsid w:val="00307F80"/>
    <w:rsid w:val="00313A18"/>
    <w:rsid w:val="00314A8C"/>
    <w:rsid w:val="0031668F"/>
    <w:rsid w:val="00317F4D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B1D86"/>
    <w:rsid w:val="003B6702"/>
    <w:rsid w:val="003C0AF8"/>
    <w:rsid w:val="003C74E8"/>
    <w:rsid w:val="003D1EC2"/>
    <w:rsid w:val="003D48FC"/>
    <w:rsid w:val="003E59E6"/>
    <w:rsid w:val="003F354A"/>
    <w:rsid w:val="003F3AE7"/>
    <w:rsid w:val="00401887"/>
    <w:rsid w:val="00401F33"/>
    <w:rsid w:val="0042762B"/>
    <w:rsid w:val="0044046B"/>
    <w:rsid w:val="00450ED6"/>
    <w:rsid w:val="00452EEB"/>
    <w:rsid w:val="0045616D"/>
    <w:rsid w:val="0047454F"/>
    <w:rsid w:val="00475757"/>
    <w:rsid w:val="004A6521"/>
    <w:rsid w:val="004B1BF6"/>
    <w:rsid w:val="004C6E81"/>
    <w:rsid w:val="004C7A0D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260EC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C2D0D"/>
    <w:rsid w:val="005D5D75"/>
    <w:rsid w:val="005F4744"/>
    <w:rsid w:val="005F59B7"/>
    <w:rsid w:val="00600CB3"/>
    <w:rsid w:val="0062117F"/>
    <w:rsid w:val="006258A6"/>
    <w:rsid w:val="00634CAA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71FB"/>
    <w:rsid w:val="006F7D0C"/>
    <w:rsid w:val="00705005"/>
    <w:rsid w:val="00717122"/>
    <w:rsid w:val="00717B05"/>
    <w:rsid w:val="00720F9B"/>
    <w:rsid w:val="00726D36"/>
    <w:rsid w:val="00731D2D"/>
    <w:rsid w:val="007429D1"/>
    <w:rsid w:val="00742A3B"/>
    <w:rsid w:val="00745C7E"/>
    <w:rsid w:val="00745EB3"/>
    <w:rsid w:val="00754DAB"/>
    <w:rsid w:val="007666B8"/>
    <w:rsid w:val="0077432C"/>
    <w:rsid w:val="00775F34"/>
    <w:rsid w:val="00782976"/>
    <w:rsid w:val="00783224"/>
    <w:rsid w:val="00787E9C"/>
    <w:rsid w:val="00795B2D"/>
    <w:rsid w:val="007A19B7"/>
    <w:rsid w:val="007A7F92"/>
    <w:rsid w:val="007B15A6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309F4"/>
    <w:rsid w:val="00842553"/>
    <w:rsid w:val="00853603"/>
    <w:rsid w:val="00877276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8100A"/>
    <w:rsid w:val="009839BE"/>
    <w:rsid w:val="00990E7F"/>
    <w:rsid w:val="00996DD9"/>
    <w:rsid w:val="009A69EC"/>
    <w:rsid w:val="009B29A6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3273C"/>
    <w:rsid w:val="00B3614E"/>
    <w:rsid w:val="00B467E3"/>
    <w:rsid w:val="00B540C3"/>
    <w:rsid w:val="00B63480"/>
    <w:rsid w:val="00B642E1"/>
    <w:rsid w:val="00B64334"/>
    <w:rsid w:val="00B64D62"/>
    <w:rsid w:val="00B8464C"/>
    <w:rsid w:val="00B877EC"/>
    <w:rsid w:val="00B90724"/>
    <w:rsid w:val="00B91A65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19EB"/>
    <w:rsid w:val="00CE3FF4"/>
    <w:rsid w:val="00CF07D1"/>
    <w:rsid w:val="00CF255E"/>
    <w:rsid w:val="00CF3A72"/>
    <w:rsid w:val="00D02776"/>
    <w:rsid w:val="00D0724E"/>
    <w:rsid w:val="00D167B8"/>
    <w:rsid w:val="00D200C0"/>
    <w:rsid w:val="00D31738"/>
    <w:rsid w:val="00D4670B"/>
    <w:rsid w:val="00D5624B"/>
    <w:rsid w:val="00D57E35"/>
    <w:rsid w:val="00D80899"/>
    <w:rsid w:val="00D86602"/>
    <w:rsid w:val="00D87DA3"/>
    <w:rsid w:val="00DA2277"/>
    <w:rsid w:val="00DA37AD"/>
    <w:rsid w:val="00DA38AD"/>
    <w:rsid w:val="00DD22CB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6518"/>
    <w:rsid w:val="00E85211"/>
    <w:rsid w:val="00E900A1"/>
    <w:rsid w:val="00E90D1A"/>
    <w:rsid w:val="00E95359"/>
    <w:rsid w:val="00EB1043"/>
    <w:rsid w:val="00EC5306"/>
    <w:rsid w:val="00ED0B51"/>
    <w:rsid w:val="00ED70FF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6454C7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0C6E"/>
    <w:rsid w:val="00011D3E"/>
    <w:rsid w:val="000A2247"/>
    <w:rsid w:val="00142340"/>
    <w:rsid w:val="002524D8"/>
    <w:rsid w:val="00273FE1"/>
    <w:rsid w:val="00290E60"/>
    <w:rsid w:val="002C0DB0"/>
    <w:rsid w:val="00324BF8"/>
    <w:rsid w:val="00362316"/>
    <w:rsid w:val="004A572B"/>
    <w:rsid w:val="004B7D10"/>
    <w:rsid w:val="00505D6E"/>
    <w:rsid w:val="00583046"/>
    <w:rsid w:val="005B7024"/>
    <w:rsid w:val="005F4913"/>
    <w:rsid w:val="006454C7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64579"/>
    <w:rsid w:val="00A44B82"/>
    <w:rsid w:val="00A5315B"/>
    <w:rsid w:val="00B05092"/>
    <w:rsid w:val="00BC49EA"/>
    <w:rsid w:val="00C00772"/>
    <w:rsid w:val="00C26451"/>
    <w:rsid w:val="00C55C3E"/>
    <w:rsid w:val="00D16E1D"/>
    <w:rsid w:val="00D500C3"/>
    <w:rsid w:val="00D51F3A"/>
    <w:rsid w:val="00D74EA6"/>
    <w:rsid w:val="00DA33C3"/>
    <w:rsid w:val="00DA4783"/>
    <w:rsid w:val="00DB55B3"/>
    <w:rsid w:val="00E0489D"/>
    <w:rsid w:val="00E87440"/>
    <w:rsid w:val="00E920C1"/>
    <w:rsid w:val="00EC4F3D"/>
    <w:rsid w:val="00EF5CBB"/>
    <w:rsid w:val="00F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15</Pages>
  <Words>5078</Words>
  <Characters>30471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111</cp:revision>
  <cp:lastPrinted>2018-02-13T11:34:00Z</cp:lastPrinted>
  <dcterms:created xsi:type="dcterms:W3CDTF">2020-10-06T05:08:00Z</dcterms:created>
  <dcterms:modified xsi:type="dcterms:W3CDTF">2024-08-22T11:46:00Z</dcterms:modified>
</cp:coreProperties>
</file>