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27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Strong"/>
          <w:b/>
          <w:bCs/>
          <w:sz w:val="22"/>
          <w:szCs w:val="22"/>
        </w:rPr>
        <w:t>kapitałowej, albo oświadczenia o przynależności do tej samej grupy kapitałowej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rzebudow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placu zabaw przy Żłobku Miejskim „Motylkowy Świat” w Legionowie, w formule zaprojektuj i wybuduj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42.45pt" type="#_x0000_t75"/>
          <w:control r:id="rId3" w:name="unnamed1" w:shapeid="control_shape_1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8" w:shapeid="control_shape_2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39.65pt" type="#_x0000_t75"/>
          <w:control r:id="rId5" w:name="unnamed12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90.45pt" type="#_x0000_t75"/>
          <w:control r:id="rId6" w:name="unnamed13" w:shapeid="control_shape_4"/>
        </w:object>
      </w:r>
    </w:p>
    <w:p>
      <w:pPr>
        <w:pStyle w:val="UwagadozapisuSWZ"/>
        <w:widowControl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283" w:after="0"/>
        <w:jc w:val="start"/>
        <w:rPr>
          <w:rFonts w:ascii="Arial" w:hAnsi="Arial" w:eastAsia="Calibri" w:cs="Calibri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>
          <w:rStyle w:val="Strong"/>
          <w:rFonts w:ascii="Arial" w:hAnsi="Arial"/>
          <w:b/>
          <w:bCs/>
          <w:sz w:val="22"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567" w:after="283"/>
      <w:jc w:val="center"/>
      <w:outlineLvl w:val="0"/>
    </w:pPr>
    <w:rPr>
      <w:rFonts w:ascii="Arial" w:hAnsi="Arial"/>
      <w:b/>
      <w:bCs/>
      <w:sz w:val="30"/>
      <w:szCs w:val="3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283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Domylnaczcionkaakapitu">
    <w:name w:val="Domyślna czcionka akapitu"/>
    <w:qFormat/>
    <w:rPr/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LibreOffice/24.8.6.2$Windows_X86_64 LibreOffice_project/6d98ba145e9a8a39fc57bcc76981d1fb1316c60c</Application>
  <AppVersion>15.0000</AppVersion>
  <Pages>1</Pages>
  <Words>146</Words>
  <Characters>1038</Characters>
  <CharactersWithSpaces>1172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2025-05-06T09:34:00Z</dcterms:created>
  <dc:creator/>
  <dc:description/>
  <dc:language>pl-PL</dc:language>
  <cp:lastModifiedBy/>
  <dcterms:modified xsi:type="dcterms:W3CDTF">2025-05-06T09:48:08Z</dcterms:modified>
  <cp:revision>3</cp:revision>
  <dc:subject/>
  <dc:title>Oświadczenia wykonawcy o braku przynależności do tej samej grupy kapitałowej, albo oświadczenia o przynależności do tej samej grupy kapitałowej</dc:title>
</cp:coreProperties>
</file>