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1FED" w14:textId="28E3AEDC" w:rsidR="00F40209" w:rsidRPr="00F40209" w:rsidRDefault="00F40209" w:rsidP="00F40209">
      <w:pPr>
        <w:shd w:val="clear" w:color="auto" w:fill="FFFFFF"/>
        <w:ind w:left="6521" w:right="34"/>
        <w:jc w:val="right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>Gorzów Wielkopolski</w:t>
      </w:r>
    </w:p>
    <w:p w14:paraId="76D1A8A7" w14:textId="0E528A3F" w:rsidR="00F40209" w:rsidRPr="00F40209" w:rsidRDefault="00CD532F" w:rsidP="00F40209">
      <w:pPr>
        <w:shd w:val="clear" w:color="auto" w:fill="FFFFFF"/>
        <w:spacing w:after="240"/>
        <w:ind w:left="6095" w:right="34"/>
        <w:jc w:val="right"/>
        <w:rPr>
          <w:rFonts w:ascii="Poppins" w:hAnsi="Poppins" w:cs="Poppins"/>
          <w:color w:val="auto"/>
          <w:spacing w:val="-1"/>
          <w:sz w:val="22"/>
        </w:rPr>
      </w:pPr>
      <w:r w:rsidRPr="00BF685C">
        <w:rPr>
          <w:rFonts w:ascii="Poppins" w:hAnsi="Poppins" w:cs="Poppins"/>
          <w:color w:val="auto"/>
          <w:spacing w:val="-1"/>
          <w:sz w:val="22"/>
        </w:rPr>
        <w:t>2</w:t>
      </w:r>
      <w:r w:rsidR="00BF685C" w:rsidRPr="00BF685C">
        <w:rPr>
          <w:rFonts w:ascii="Poppins" w:hAnsi="Poppins" w:cs="Poppins"/>
          <w:color w:val="auto"/>
          <w:spacing w:val="-1"/>
          <w:sz w:val="22"/>
        </w:rPr>
        <w:t>9</w:t>
      </w:r>
      <w:r w:rsidR="002C41D8" w:rsidRPr="00BF685C">
        <w:rPr>
          <w:rFonts w:ascii="Poppins" w:hAnsi="Poppins" w:cs="Poppins"/>
          <w:color w:val="auto"/>
          <w:spacing w:val="-1"/>
          <w:sz w:val="22"/>
        </w:rPr>
        <w:t xml:space="preserve"> </w:t>
      </w:r>
      <w:r w:rsidR="00A7749C" w:rsidRPr="00BF685C">
        <w:rPr>
          <w:rFonts w:ascii="Poppins" w:hAnsi="Poppins" w:cs="Poppins"/>
          <w:color w:val="auto"/>
          <w:spacing w:val="-1"/>
          <w:sz w:val="22"/>
        </w:rPr>
        <w:t>maja</w:t>
      </w:r>
      <w:r w:rsidR="002C41D8" w:rsidRPr="00BF685C">
        <w:rPr>
          <w:rFonts w:ascii="Poppins" w:hAnsi="Poppins" w:cs="Poppins"/>
          <w:color w:val="auto"/>
          <w:spacing w:val="-1"/>
          <w:sz w:val="22"/>
        </w:rPr>
        <w:t xml:space="preserve"> </w:t>
      </w:r>
      <w:r w:rsidR="002C41D8">
        <w:rPr>
          <w:rFonts w:ascii="Poppins" w:hAnsi="Poppins" w:cs="Poppins"/>
          <w:color w:val="auto"/>
          <w:spacing w:val="-1"/>
          <w:sz w:val="22"/>
        </w:rPr>
        <w:t>2025</w:t>
      </w:r>
      <w:r w:rsidR="00F40209" w:rsidRPr="00F40209">
        <w:rPr>
          <w:rFonts w:ascii="Poppins" w:hAnsi="Poppins" w:cs="Poppins"/>
          <w:color w:val="auto"/>
          <w:spacing w:val="-1"/>
          <w:sz w:val="22"/>
        </w:rPr>
        <w:t xml:space="preserve"> roku</w:t>
      </w:r>
    </w:p>
    <w:p w14:paraId="643FFB89" w14:textId="28890C8B" w:rsidR="00F40209" w:rsidRPr="00F40209" w:rsidRDefault="00F40209" w:rsidP="00F40209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>Znak sprawy: TZP-002/</w:t>
      </w:r>
      <w:r w:rsidR="00A7749C">
        <w:rPr>
          <w:rFonts w:ascii="Poppins" w:hAnsi="Poppins" w:cs="Poppins"/>
          <w:color w:val="auto"/>
          <w:spacing w:val="-1"/>
          <w:sz w:val="22"/>
        </w:rPr>
        <w:t>28</w:t>
      </w:r>
      <w:r w:rsidR="002C41D8">
        <w:rPr>
          <w:rFonts w:ascii="Poppins" w:hAnsi="Poppins" w:cs="Poppins"/>
          <w:color w:val="auto"/>
          <w:spacing w:val="-1"/>
          <w:sz w:val="22"/>
        </w:rPr>
        <w:t>/2025</w:t>
      </w:r>
    </w:p>
    <w:p w14:paraId="7462BF3C" w14:textId="6FD8CFE5" w:rsidR="00F40209" w:rsidRPr="00F40209" w:rsidRDefault="00F40209" w:rsidP="00F40209">
      <w:pPr>
        <w:shd w:val="clear" w:color="auto" w:fill="FFFFFF"/>
        <w:spacing w:after="240"/>
        <w:ind w:right="34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 xml:space="preserve">Sprawę prowadzi: </w:t>
      </w:r>
      <w:r w:rsidR="005063C9">
        <w:rPr>
          <w:rFonts w:ascii="Poppins" w:hAnsi="Poppins" w:cs="Poppins"/>
          <w:color w:val="auto"/>
          <w:spacing w:val="-1"/>
          <w:sz w:val="22"/>
        </w:rPr>
        <w:t>Paulina Woźniczka</w:t>
      </w:r>
    </w:p>
    <w:p w14:paraId="781D449F" w14:textId="41C1FCB9" w:rsidR="005F314F" w:rsidRPr="005F314F" w:rsidRDefault="004A2445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>
        <w:rPr>
          <w:rFonts w:ascii="Poppins" w:hAnsi="Poppins" w:cs="Poppins"/>
          <w:b/>
          <w:color w:val="auto"/>
          <w:spacing w:val="-1"/>
          <w:sz w:val="22"/>
        </w:rPr>
        <w:t xml:space="preserve">II </w:t>
      </w:r>
      <w:r w:rsidR="005F314F" w:rsidRPr="005F314F">
        <w:rPr>
          <w:rFonts w:ascii="Poppins" w:hAnsi="Poppins" w:cs="Poppins"/>
          <w:b/>
          <w:color w:val="auto"/>
          <w:spacing w:val="-1"/>
          <w:sz w:val="22"/>
        </w:rPr>
        <w:t xml:space="preserve">Wyjaśnienie treści Specyfikacji </w:t>
      </w:r>
      <w:r w:rsidR="005F314F"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14:paraId="15DE6ECB" w14:textId="77777777"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</w:p>
    <w:p w14:paraId="114D0BEF" w14:textId="1768CFE3" w:rsidR="005F314F" w:rsidRPr="00AF531B" w:rsidRDefault="00A7749C" w:rsidP="00BF685C">
      <w:pPr>
        <w:pStyle w:val="Tytu"/>
        <w:spacing w:after="360"/>
        <w:jc w:val="left"/>
        <w:rPr>
          <w:rFonts w:ascii="Poppins" w:hAnsi="Poppins" w:cs="Poppins"/>
          <w:b w:val="0"/>
          <w:color w:val="000000"/>
          <w:sz w:val="28"/>
          <w:szCs w:val="22"/>
        </w:rPr>
      </w:pPr>
      <w:r w:rsidRPr="00A7749C">
        <w:rPr>
          <w:rFonts w:ascii="Poppins" w:hAnsi="Poppins" w:cs="Poppins"/>
          <w:sz w:val="28"/>
        </w:rPr>
        <w:t>Plac zabaw na podwórku 11 Listopada/Słoneczna - BUDŻET OBYWATELSKI</w:t>
      </w:r>
    </w:p>
    <w:p w14:paraId="53CF8D6A" w14:textId="77777777" w:rsidR="005F314F" w:rsidRPr="005F314F" w:rsidRDefault="005F314F" w:rsidP="005F314F">
      <w:pPr>
        <w:shd w:val="clear" w:color="auto" w:fill="FFFFFF"/>
        <w:rPr>
          <w:rFonts w:ascii="Poppins" w:hAnsi="Poppins" w:cs="Poppins"/>
          <w:color w:val="000000"/>
          <w:spacing w:val="-2"/>
          <w:sz w:val="22"/>
        </w:rPr>
      </w:pPr>
    </w:p>
    <w:p w14:paraId="5C71012F" w14:textId="77777777" w:rsidR="005F314F" w:rsidRPr="005F314F" w:rsidRDefault="005F314F" w:rsidP="005F314F">
      <w:pPr>
        <w:spacing w:after="120" w:line="360" w:lineRule="auto"/>
        <w:rPr>
          <w:rFonts w:ascii="Poppins" w:hAnsi="Poppins" w:cs="Poppins"/>
          <w:color w:val="auto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>Zamawiający – Zakład Gospodarki Mieszkaniowej, niniejszym wyjaśnia:</w:t>
      </w:r>
    </w:p>
    <w:p w14:paraId="76475491" w14:textId="77777777" w:rsidR="005F314F" w:rsidRPr="00AF531B" w:rsidRDefault="005F314F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1:</w:t>
      </w:r>
    </w:p>
    <w:p w14:paraId="310AE003" w14:textId="72D18B86" w:rsidR="001E3804" w:rsidRPr="001E3804" w:rsidRDefault="001E3804" w:rsidP="001E38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zamawiający dopuści ujednolicenie konstrukcji urządzeń poprzez zastosowanie konstrukcji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stalowej z podkładem cynkowym (szczególnie w urządzeniu Bujak Nr-2 oraz Liczydło, które konstrukcyjnie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odbiegają od pozostałych urządzeń.</w:t>
      </w:r>
    </w:p>
    <w:p w14:paraId="69382513" w14:textId="6A30CF10" w:rsidR="001E3804" w:rsidRDefault="001E3804" w:rsidP="001E3804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/>
          <w:color w:val="000000" w:themeColor="text1"/>
          <w:spacing w:val="0"/>
          <w:sz w:val="22"/>
        </w:rPr>
        <w:t>Odpowiedź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0A873DC8" w14:textId="18AD8FEF" w:rsidR="004A2445" w:rsidRPr="004A2445" w:rsidRDefault="0037195F" w:rsidP="0037195F">
      <w:pPr>
        <w:autoSpaceDE w:val="0"/>
        <w:autoSpaceDN w:val="0"/>
        <w:adjustRightInd w:val="0"/>
        <w:spacing w:after="120" w:line="276" w:lineRule="auto"/>
        <w:rPr>
          <w:rFonts w:ascii="Poppins" w:eastAsia="Calibri" w:hAnsi="Poppins" w:cs="Poppins"/>
          <w:bCs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Zamawiający nie dopuszcza proponowanego rozwiązania.</w:t>
      </w:r>
    </w:p>
    <w:p w14:paraId="7AE94CA1" w14:textId="453C9A13" w:rsidR="001E3804" w:rsidRPr="00AF531B" w:rsidRDefault="001E3804" w:rsidP="001E3804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4A2445">
        <w:rPr>
          <w:rFonts w:ascii="Poppins" w:eastAsia="Calibri" w:hAnsi="Poppins" w:cs="Poppins"/>
          <w:b/>
          <w:color w:val="000000" w:themeColor="text1"/>
          <w:spacing w:val="0"/>
          <w:sz w:val="22"/>
        </w:rPr>
        <w:t>2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0D4045CA" w14:textId="39CE53CD" w:rsidR="001E3804" w:rsidRPr="001E3804" w:rsidRDefault="001E3804" w:rsidP="001E38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zamawiający dopuści ławkę z oparciem na konstrukcji stalowej z profilu 40x40 lub rury fi 50/60</w:t>
      </w:r>
      <w:r w:rsidR="004A2445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mm oraz deskami drewnianymi?</w:t>
      </w:r>
      <w:r w:rsidR="0037195F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</w:p>
    <w:p w14:paraId="47477F66" w14:textId="77777777" w:rsidR="004A2445" w:rsidRDefault="004A2445" w:rsidP="004A2445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/>
          <w:color w:val="000000" w:themeColor="text1"/>
          <w:spacing w:val="0"/>
          <w:sz w:val="22"/>
        </w:rPr>
        <w:t>Odpowiedź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7E1E13DA" w14:textId="77777777" w:rsidR="0037195F" w:rsidRDefault="0037195F" w:rsidP="004A2445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Cs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Cs/>
          <w:color w:val="000000" w:themeColor="text1"/>
          <w:spacing w:val="0"/>
          <w:sz w:val="22"/>
        </w:rPr>
        <w:t xml:space="preserve">Zamawiający dopuszcza drewniane deski. </w:t>
      </w:r>
    </w:p>
    <w:p w14:paraId="034E024B" w14:textId="167CE003" w:rsidR="004A2445" w:rsidRPr="004A2445" w:rsidRDefault="0037195F" w:rsidP="0037195F">
      <w:pPr>
        <w:autoSpaceDE w:val="0"/>
        <w:autoSpaceDN w:val="0"/>
        <w:adjustRightInd w:val="0"/>
        <w:spacing w:after="120" w:line="276" w:lineRule="auto"/>
        <w:rPr>
          <w:rFonts w:ascii="Poppins" w:eastAsia="Calibri" w:hAnsi="Poppins" w:cs="Poppins"/>
          <w:bCs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Cs/>
          <w:color w:val="000000" w:themeColor="text1"/>
          <w:spacing w:val="0"/>
          <w:sz w:val="22"/>
        </w:rPr>
        <w:t xml:space="preserve">Nie dopuszcza pozostałych elementów. </w:t>
      </w:r>
      <w:r w:rsidRPr="0037195F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 xml:space="preserve">Wskazane parametry </w:t>
      </w:r>
      <w:r>
        <w:rPr>
          <w:rFonts w:ascii="Poppins" w:eastAsia="Calibri" w:hAnsi="Poppins" w:cs="Poppins"/>
          <w:bCs/>
          <w:color w:val="000000" w:themeColor="text1"/>
          <w:spacing w:val="0"/>
          <w:sz w:val="22"/>
        </w:rPr>
        <w:t xml:space="preserve">profilu i rury </w:t>
      </w:r>
      <w:r w:rsidRPr="0037195F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przekraczają kryteria równoważności opisane w projekcie architektoniczno- budowlanym pkt. 11 s. 22-23 (dopuszczalne odstępstwo w granicach +/-5%)</w:t>
      </w:r>
    </w:p>
    <w:p w14:paraId="632DB978" w14:textId="3A9B3B97" w:rsidR="001E3804" w:rsidRPr="00AF531B" w:rsidRDefault="001E3804" w:rsidP="001E3804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4A2445">
        <w:rPr>
          <w:rFonts w:ascii="Poppins" w:eastAsia="Calibri" w:hAnsi="Poppins" w:cs="Poppins"/>
          <w:b/>
          <w:color w:val="000000" w:themeColor="text1"/>
          <w:spacing w:val="0"/>
          <w:sz w:val="22"/>
        </w:rPr>
        <w:t>3:</w:t>
      </w:r>
    </w:p>
    <w:p w14:paraId="74AC45D2" w14:textId="08730CA7" w:rsidR="001E3804" w:rsidRPr="001E3804" w:rsidRDefault="001E3804" w:rsidP="001E38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zamawiający dopuści panel ogrodzeniowy bez ramy stalowej wokół ? Zaproponowane w projekcie</w:t>
      </w:r>
      <w:r w:rsidR="004A2445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rozwiązanie znacznie podwyższa koszt wykonania ogrodzenia. Ogrodzenie panelowe bez ramy dookoła</w:t>
      </w:r>
      <w:r w:rsidR="004A2445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również dobrze spełnia swoje funkcje</w:t>
      </w:r>
      <w:r w:rsidR="004A2445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.</w:t>
      </w:r>
    </w:p>
    <w:p w14:paraId="1CEF4599" w14:textId="77777777" w:rsidR="004A2445" w:rsidRDefault="004A2445" w:rsidP="004A2445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/>
          <w:color w:val="000000" w:themeColor="text1"/>
          <w:spacing w:val="0"/>
          <w:sz w:val="22"/>
        </w:rPr>
        <w:t>Odpowiedź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4908E82C" w14:textId="77777777" w:rsidR="0037195F" w:rsidRDefault="0037195F" w:rsidP="0037195F">
      <w:pPr>
        <w:autoSpaceDE w:val="0"/>
        <w:autoSpaceDN w:val="0"/>
        <w:adjustRightInd w:val="0"/>
        <w:spacing w:after="120" w:line="276" w:lineRule="auto"/>
        <w:rPr>
          <w:rFonts w:ascii="Poppins" w:eastAsia="Calibri" w:hAnsi="Poppins" w:cs="Poppins"/>
          <w:bCs/>
          <w:color w:val="000000" w:themeColor="text1"/>
          <w:spacing w:val="0"/>
          <w:sz w:val="22"/>
        </w:rPr>
      </w:pPr>
      <w:r w:rsidRPr="0037195F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Zamawiający nie dopuszcza proponowanego rozwiązania.</w:t>
      </w:r>
    </w:p>
    <w:p w14:paraId="6C310988" w14:textId="4D3D7045" w:rsidR="001E3804" w:rsidRPr="00AF531B" w:rsidRDefault="001E3804" w:rsidP="001E3804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lastRenderedPageBreak/>
        <w:t xml:space="preserve">Pytanie </w:t>
      </w:r>
      <w:r w:rsidR="004A2445">
        <w:rPr>
          <w:rFonts w:ascii="Poppins" w:eastAsia="Calibri" w:hAnsi="Poppins" w:cs="Poppins"/>
          <w:b/>
          <w:color w:val="000000" w:themeColor="text1"/>
          <w:spacing w:val="0"/>
          <w:sz w:val="22"/>
        </w:rPr>
        <w:t>4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0FFF733E" w14:textId="1D131140" w:rsidR="001E3804" w:rsidRPr="001E3804" w:rsidRDefault="001E3804" w:rsidP="001E38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zamawiający wymaga kierownika budowy ?</w:t>
      </w:r>
    </w:p>
    <w:p w14:paraId="224DB462" w14:textId="77777777" w:rsidR="004A2445" w:rsidRDefault="004A2445" w:rsidP="004A2445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/>
          <w:color w:val="000000" w:themeColor="text1"/>
          <w:spacing w:val="0"/>
          <w:sz w:val="22"/>
        </w:rPr>
        <w:t>Odpowiedź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4D2BE947" w14:textId="52329FD9" w:rsidR="004A2445" w:rsidRPr="00BF685C" w:rsidRDefault="004A2445" w:rsidP="00BF685C">
      <w:pPr>
        <w:autoSpaceDE w:val="0"/>
        <w:autoSpaceDN w:val="0"/>
        <w:adjustRightInd w:val="0"/>
        <w:spacing w:after="120" w:line="276" w:lineRule="auto"/>
        <w:rPr>
          <w:rFonts w:ascii="Poppins" w:eastAsia="Calibri" w:hAnsi="Poppins" w:cs="Poppins"/>
          <w:bCs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Cs/>
          <w:color w:val="000000" w:themeColor="text1"/>
          <w:spacing w:val="0"/>
          <w:sz w:val="22"/>
        </w:rPr>
        <w:t xml:space="preserve">Zamawiający </w:t>
      </w:r>
      <w:r w:rsidRPr="004A2445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nie wymaga kierownika budowy</w:t>
      </w:r>
      <w:r w:rsidR="00BF685C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.</w:t>
      </w:r>
    </w:p>
    <w:p w14:paraId="3047978D" w14:textId="5A2A1091" w:rsidR="001E3804" w:rsidRPr="00AF531B" w:rsidRDefault="001E3804" w:rsidP="001E3804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4A2445">
        <w:rPr>
          <w:rFonts w:ascii="Poppins" w:eastAsia="Calibri" w:hAnsi="Poppins" w:cs="Poppins"/>
          <w:b/>
          <w:color w:val="000000" w:themeColor="text1"/>
          <w:spacing w:val="0"/>
          <w:sz w:val="22"/>
        </w:rPr>
        <w:t>5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55F4BF01" w14:textId="5D6EEC83" w:rsidR="001E3804" w:rsidRPr="001E3804" w:rsidRDefault="001E3804" w:rsidP="001E380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zamawiający wymaga geodezyjnej inwentaryzacji powykonawczej ?</w:t>
      </w:r>
    </w:p>
    <w:p w14:paraId="1A0DD71D" w14:textId="77777777" w:rsidR="004A2445" w:rsidRDefault="004A2445" w:rsidP="004A2445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/>
          <w:color w:val="000000" w:themeColor="text1"/>
          <w:spacing w:val="0"/>
          <w:sz w:val="22"/>
        </w:rPr>
        <w:t>Odpowiedź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3052902E" w14:textId="0EDBABF8" w:rsidR="004A2445" w:rsidRPr="004A2445" w:rsidRDefault="004A2445" w:rsidP="00BF685C">
      <w:pPr>
        <w:autoSpaceDE w:val="0"/>
        <w:autoSpaceDN w:val="0"/>
        <w:adjustRightInd w:val="0"/>
        <w:spacing w:after="120" w:line="276" w:lineRule="auto"/>
        <w:rPr>
          <w:rFonts w:ascii="Poppins" w:eastAsia="Calibri" w:hAnsi="Poppins" w:cs="Poppins"/>
          <w:bCs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Z</w:t>
      </w:r>
      <w:r w:rsidRPr="004A2445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 xml:space="preserve">amawiający wymaga </w:t>
      </w:r>
      <w:r w:rsidR="00BF685C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 xml:space="preserve">sporządzenia </w:t>
      </w:r>
      <w:r w:rsidRPr="004A2445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 xml:space="preserve">geodezyjnej </w:t>
      </w:r>
      <w:r w:rsidR="00BF685C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mapy powykonawczej</w:t>
      </w:r>
      <w:r w:rsidR="00BF685C" w:rsidRPr="00BF685C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, celem dokonania aktualizacji w ewidencji gruntów i budynków</w:t>
      </w:r>
      <w:r w:rsidR="00BF685C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. Należy przewidzieć wszystkie czynności i opracowania niezbędne do wykonania takiej mapy</w:t>
      </w:r>
      <w:r w:rsidRPr="004A2445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.</w:t>
      </w:r>
    </w:p>
    <w:p w14:paraId="458DBA7D" w14:textId="20817A77" w:rsidR="001E3804" w:rsidRDefault="001E3804" w:rsidP="001E3804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4A2445">
        <w:rPr>
          <w:rFonts w:ascii="Poppins" w:eastAsia="Calibri" w:hAnsi="Poppins" w:cs="Poppins"/>
          <w:b/>
          <w:color w:val="000000" w:themeColor="text1"/>
          <w:spacing w:val="0"/>
          <w:sz w:val="22"/>
        </w:rPr>
        <w:t>6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490EF43B" w14:textId="7E26F901" w:rsidR="004A2445" w:rsidRPr="004A2445" w:rsidRDefault="004A2445" w:rsidP="001E3804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Cs/>
          <w:color w:val="000000" w:themeColor="text1"/>
          <w:spacing w:val="0"/>
          <w:sz w:val="22"/>
        </w:rPr>
      </w:pPr>
      <w:r w:rsidRPr="004A2445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Proszę o udostępnienie aktualnych zdjęć z terenu inwestycji</w:t>
      </w:r>
      <w:r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.</w:t>
      </w:r>
    </w:p>
    <w:p w14:paraId="080E34D0" w14:textId="77777777" w:rsidR="004A2445" w:rsidRPr="00AF531B" w:rsidRDefault="004A2445" w:rsidP="004A2445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/>
          <w:color w:val="000000" w:themeColor="text1"/>
          <w:spacing w:val="0"/>
          <w:sz w:val="22"/>
        </w:rPr>
        <w:t>Odpowiedź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522B3787" w14:textId="7596E3F8" w:rsidR="0091088B" w:rsidRPr="00C9151F" w:rsidRDefault="004A2445" w:rsidP="00A7749C">
      <w:pPr>
        <w:spacing w:after="240" w:line="276" w:lineRule="auto"/>
        <w:rPr>
          <w:rFonts w:ascii="Poppins" w:hAnsi="Poppins" w:cs="Poppins"/>
          <w:bCs/>
          <w:color w:val="auto"/>
          <w:sz w:val="22"/>
        </w:rPr>
      </w:pP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Powyższe nie jest pytaniem do treści </w:t>
      </w:r>
      <w:proofErr w:type="spellStart"/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swz</w:t>
      </w:r>
      <w:proofErr w:type="spellEnd"/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. </w:t>
      </w:r>
      <w:r w:rsid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Zgodnie z treścią </w:t>
      </w:r>
      <w:proofErr w:type="spellStart"/>
      <w:r w:rsid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swz</w:t>
      </w:r>
      <w:proofErr w:type="spellEnd"/>
      <w:r w:rsid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(rozdział II Opis przedmiotu zamówienia pkt. 9 s.7) </w:t>
      </w:r>
      <w:r w:rsidR="00623751" w:rsidRP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Zamawiający zaleca wizytę na obiekcie przed złożeniem oferty, w celu zapoznania się z warunkami i możliwościami projektowanych do wykonania robót budowlanych, tel. Damian Madaliński 695 741 733 Katarzyna </w:t>
      </w:r>
      <w:proofErr w:type="spellStart"/>
      <w:r w:rsidR="00623751" w:rsidRP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Lijewska</w:t>
      </w:r>
      <w:proofErr w:type="spellEnd"/>
      <w:r w:rsidR="00623751" w:rsidRP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607 514</w:t>
      </w:r>
      <w:r w:rsid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 </w:t>
      </w:r>
      <w:r w:rsidR="00623751" w:rsidRP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565</w:t>
      </w:r>
      <w:r w:rsid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. Wycena jest sprawą indywidualną i to wykonawca decyduje jakie zdjęcia są mu do niej niezbędne. T</w:t>
      </w:r>
      <w:r w:rsidR="00623751" w:rsidRP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eren można sprawdzić na </w:t>
      </w:r>
      <w:proofErr w:type="spellStart"/>
      <w:r w:rsidR="00623751" w:rsidRP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geoportalu</w:t>
      </w:r>
      <w:proofErr w:type="spellEnd"/>
      <w:r w:rsidR="00623751" w:rsidRP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lu</w:t>
      </w:r>
      <w:r w:rsidR="003432D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b</w:t>
      </w:r>
      <w:r w:rsidR="00623751" w:rsidRP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proofErr w:type="spellStart"/>
      <w:r w:rsidR="00623751" w:rsidRP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obliview</w:t>
      </w:r>
      <w:proofErr w:type="spellEnd"/>
      <w:r w:rsidR="00623751" w:rsidRPr="00623751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.</w:t>
      </w:r>
    </w:p>
    <w:p w14:paraId="4D9D2E9F" w14:textId="719C1035" w:rsidR="00AF531B" w:rsidRPr="00C9151F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auto"/>
          <w:sz w:val="22"/>
          <w:szCs w:val="20"/>
        </w:rPr>
      </w:pPr>
    </w:p>
    <w:p w14:paraId="221256B7" w14:textId="77777777" w:rsidR="00AF531B" w:rsidRPr="00C9151F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auto"/>
          <w:sz w:val="22"/>
          <w:szCs w:val="20"/>
        </w:rPr>
      </w:pPr>
    </w:p>
    <w:p w14:paraId="349572DD" w14:textId="0DD9BA89" w:rsidR="005F314F" w:rsidRPr="00F40209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  <w:sz w:val="20"/>
          <w:szCs w:val="20"/>
        </w:rPr>
      </w:pPr>
      <w:r w:rsidRPr="00F40209">
        <w:rPr>
          <w:rFonts w:ascii="Poppins" w:hAnsi="Poppins" w:cs="Poppins"/>
          <w:bCs/>
          <w:color w:val="auto"/>
          <w:sz w:val="20"/>
          <w:szCs w:val="20"/>
        </w:rPr>
        <w:t xml:space="preserve">Podstawa prawna: </w:t>
      </w:r>
      <w:r w:rsidRPr="00F40209">
        <w:rPr>
          <w:rFonts w:ascii="Poppins" w:hAnsi="Poppins" w:cs="Poppins"/>
          <w:color w:val="auto"/>
          <w:sz w:val="20"/>
          <w:szCs w:val="20"/>
        </w:rPr>
        <w:t xml:space="preserve">art. 284 ust. 2 </w:t>
      </w:r>
      <w:r w:rsidRPr="00F40209">
        <w:rPr>
          <w:rFonts w:ascii="Poppins" w:hAnsi="Poppins" w:cs="Poppins"/>
          <w:color w:val="000000"/>
          <w:sz w:val="20"/>
          <w:szCs w:val="20"/>
        </w:rPr>
        <w:t>z dnia 11 września 201</w:t>
      </w:r>
      <w:r w:rsidR="00EC0BE1">
        <w:rPr>
          <w:rFonts w:ascii="Poppins" w:hAnsi="Poppins" w:cs="Poppins"/>
          <w:color w:val="000000"/>
          <w:sz w:val="20"/>
          <w:szCs w:val="20"/>
        </w:rPr>
        <w:t>9 r. Prawo zamówień publicznych.</w:t>
      </w:r>
    </w:p>
    <w:p w14:paraId="64644D98" w14:textId="77777777" w:rsidR="005F314F" w:rsidRP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14:paraId="77019ABB" w14:textId="77777777" w:rsid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399E1F6" w14:textId="77777777" w:rsidR="00CB1303" w:rsidRPr="005F314F" w:rsidRDefault="00CB1303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17E4EBF" w14:textId="77777777" w:rsidR="005F314F" w:rsidRPr="00CB1303" w:rsidRDefault="005F314F" w:rsidP="00CB1303">
      <w:pPr>
        <w:spacing w:line="276" w:lineRule="auto"/>
        <w:ind w:left="6372"/>
        <w:rPr>
          <w:rFonts w:ascii="Poppins" w:hAnsi="Poppins" w:cs="Poppins"/>
          <w:i/>
          <w:color w:val="262626"/>
        </w:rPr>
      </w:pPr>
      <w:r w:rsidRPr="00CB1303">
        <w:rPr>
          <w:rFonts w:ascii="Poppins" w:hAnsi="Poppins" w:cs="Poppins"/>
          <w:i/>
          <w:color w:val="262626"/>
        </w:rPr>
        <w:t>(podpisano na oryginale)</w:t>
      </w:r>
    </w:p>
    <w:p w14:paraId="359FA797" w14:textId="77777777" w:rsidR="00256158" w:rsidRPr="00B4569B" w:rsidRDefault="00256158" w:rsidP="00B4569B">
      <w:pPr>
        <w:spacing w:line="276" w:lineRule="auto"/>
        <w:rPr>
          <w:rFonts w:ascii="Poppins" w:hAnsi="Poppins" w:cs="Poppins"/>
          <w:sz w:val="24"/>
          <w:szCs w:val="24"/>
        </w:rPr>
      </w:pP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41305" w14:textId="77777777"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14:paraId="2C773726" w14:textId="77777777"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EB17" w14:textId="77777777"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2D20719C" wp14:editId="50B3317B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4340" w14:textId="77777777"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14:paraId="760FC8D9" w14:textId="77777777"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C890" w14:textId="77777777" w:rsidR="002C5509" w:rsidRDefault="005F314F">
    <w:pPr>
      <w:pStyle w:val="Nagwek"/>
    </w:pPr>
    <w:r w:rsidRPr="00C477F2">
      <w:rPr>
        <w:noProof/>
        <w:lang w:eastAsia="pl-PL"/>
      </w:rPr>
      <w:drawing>
        <wp:inline distT="0" distB="0" distL="0" distR="0" wp14:anchorId="5AC69DA9" wp14:editId="109B33D7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13867">
    <w:abstractNumId w:val="2"/>
  </w:num>
  <w:num w:numId="2" w16cid:durableId="1949120553">
    <w:abstractNumId w:val="1"/>
  </w:num>
  <w:num w:numId="3" w16cid:durableId="70629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4F"/>
    <w:rsid w:val="0000019B"/>
    <w:rsid w:val="00000D0A"/>
    <w:rsid w:val="00001604"/>
    <w:rsid w:val="00006353"/>
    <w:rsid w:val="00013CA6"/>
    <w:rsid w:val="00022A23"/>
    <w:rsid w:val="00023843"/>
    <w:rsid w:val="00024683"/>
    <w:rsid w:val="00026122"/>
    <w:rsid w:val="00027812"/>
    <w:rsid w:val="000410B1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D2CA3"/>
    <w:rsid w:val="000D5AE1"/>
    <w:rsid w:val="000F7DD6"/>
    <w:rsid w:val="00121E15"/>
    <w:rsid w:val="00121F86"/>
    <w:rsid w:val="00132648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1E3804"/>
    <w:rsid w:val="00204576"/>
    <w:rsid w:val="002238C7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41D8"/>
    <w:rsid w:val="002C5509"/>
    <w:rsid w:val="002D0225"/>
    <w:rsid w:val="002D3250"/>
    <w:rsid w:val="002E1C46"/>
    <w:rsid w:val="002E5762"/>
    <w:rsid w:val="003028C5"/>
    <w:rsid w:val="00305FAE"/>
    <w:rsid w:val="00336FF7"/>
    <w:rsid w:val="003432D4"/>
    <w:rsid w:val="003709E5"/>
    <w:rsid w:val="0037195F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2445"/>
    <w:rsid w:val="004A597E"/>
    <w:rsid w:val="004D09AF"/>
    <w:rsid w:val="004D6AE7"/>
    <w:rsid w:val="004E343A"/>
    <w:rsid w:val="004E3A52"/>
    <w:rsid w:val="004F0809"/>
    <w:rsid w:val="004F47E9"/>
    <w:rsid w:val="004F52EC"/>
    <w:rsid w:val="00501A0D"/>
    <w:rsid w:val="005063C9"/>
    <w:rsid w:val="005534A6"/>
    <w:rsid w:val="00553C6D"/>
    <w:rsid w:val="00554B2B"/>
    <w:rsid w:val="0057116B"/>
    <w:rsid w:val="00577870"/>
    <w:rsid w:val="005835CB"/>
    <w:rsid w:val="005A5A4C"/>
    <w:rsid w:val="005E3EA7"/>
    <w:rsid w:val="005F190F"/>
    <w:rsid w:val="005F314F"/>
    <w:rsid w:val="00617515"/>
    <w:rsid w:val="00622B79"/>
    <w:rsid w:val="00623110"/>
    <w:rsid w:val="00623751"/>
    <w:rsid w:val="0062430B"/>
    <w:rsid w:val="00624BE0"/>
    <w:rsid w:val="00627490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7677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95922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A722B"/>
    <w:rsid w:val="009C3BA2"/>
    <w:rsid w:val="009E0869"/>
    <w:rsid w:val="009E1749"/>
    <w:rsid w:val="009E264C"/>
    <w:rsid w:val="009E5EFE"/>
    <w:rsid w:val="009E7D94"/>
    <w:rsid w:val="009F28FD"/>
    <w:rsid w:val="009F47FB"/>
    <w:rsid w:val="00A005F7"/>
    <w:rsid w:val="00A11FA5"/>
    <w:rsid w:val="00A20302"/>
    <w:rsid w:val="00A248C8"/>
    <w:rsid w:val="00A3075C"/>
    <w:rsid w:val="00A33241"/>
    <w:rsid w:val="00A43C82"/>
    <w:rsid w:val="00A63EBC"/>
    <w:rsid w:val="00A7749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AF531B"/>
    <w:rsid w:val="00B159DD"/>
    <w:rsid w:val="00B2625E"/>
    <w:rsid w:val="00B343F7"/>
    <w:rsid w:val="00B4569B"/>
    <w:rsid w:val="00B45E0B"/>
    <w:rsid w:val="00B63D78"/>
    <w:rsid w:val="00B66385"/>
    <w:rsid w:val="00B71ADC"/>
    <w:rsid w:val="00B76601"/>
    <w:rsid w:val="00B806C4"/>
    <w:rsid w:val="00B90A36"/>
    <w:rsid w:val="00BA6350"/>
    <w:rsid w:val="00BB68D1"/>
    <w:rsid w:val="00BC0C77"/>
    <w:rsid w:val="00BC2EBC"/>
    <w:rsid w:val="00BC2F22"/>
    <w:rsid w:val="00BE790F"/>
    <w:rsid w:val="00BF3991"/>
    <w:rsid w:val="00BF42AA"/>
    <w:rsid w:val="00BF685C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51F"/>
    <w:rsid w:val="00C91A54"/>
    <w:rsid w:val="00C95B66"/>
    <w:rsid w:val="00CA0FA1"/>
    <w:rsid w:val="00CA33AC"/>
    <w:rsid w:val="00CA5C0F"/>
    <w:rsid w:val="00CA79A5"/>
    <w:rsid w:val="00CB1303"/>
    <w:rsid w:val="00CD532F"/>
    <w:rsid w:val="00CD684B"/>
    <w:rsid w:val="00CE5123"/>
    <w:rsid w:val="00CF1FAD"/>
    <w:rsid w:val="00CF5209"/>
    <w:rsid w:val="00CF79EF"/>
    <w:rsid w:val="00D1259E"/>
    <w:rsid w:val="00D16F2C"/>
    <w:rsid w:val="00D24B7E"/>
    <w:rsid w:val="00D363ED"/>
    <w:rsid w:val="00D37D04"/>
    <w:rsid w:val="00D41112"/>
    <w:rsid w:val="00D43585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DF56D4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C0BE1"/>
    <w:rsid w:val="00EE778C"/>
    <w:rsid w:val="00F0673E"/>
    <w:rsid w:val="00F07007"/>
    <w:rsid w:val="00F13C25"/>
    <w:rsid w:val="00F169A2"/>
    <w:rsid w:val="00F16A67"/>
    <w:rsid w:val="00F31D7C"/>
    <w:rsid w:val="00F33C81"/>
    <w:rsid w:val="00F36C94"/>
    <w:rsid w:val="00F40209"/>
    <w:rsid w:val="00F5055D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CDE0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14F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8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81"/>
    <w:rPr>
      <w:rFonts w:ascii="Segoe UI" w:eastAsia="Times New Roman" w:hAnsi="Segoe UI" w:cs="Segoe UI"/>
      <w:color w:val="1E1E1E"/>
      <w:spacing w:val="4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58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5</cp:revision>
  <cp:lastPrinted>2025-05-29T08:33:00Z</cp:lastPrinted>
  <dcterms:created xsi:type="dcterms:W3CDTF">2025-05-28T12:05:00Z</dcterms:created>
  <dcterms:modified xsi:type="dcterms:W3CDTF">2025-05-29T10:27:00Z</dcterms:modified>
</cp:coreProperties>
</file>