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2. Regionalna Baza Logistyczna zwraca się do Państwa z wnioskiem o złożenie oferty cenowej na </w:t>
      </w:r>
      <w:r w:rsidRPr="001E01E2">
        <w:rPr>
          <w:rFonts w:ascii="Times New Roman" w:eastAsia="Times New Roman" w:hAnsi="Times New Roman" w:cs="Times New Roman"/>
          <w:b/>
          <w:sz w:val="24"/>
        </w:rPr>
        <w:t>dostawę</w:t>
      </w:r>
      <w:r w:rsidR="00594A0B">
        <w:rPr>
          <w:rFonts w:ascii="Times New Roman" w:eastAsia="Times New Roman" w:hAnsi="Times New Roman" w:cs="Times New Roman"/>
          <w:b/>
          <w:sz w:val="24"/>
        </w:rPr>
        <w:t xml:space="preserve"> spycharko-ładowarki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4F1547">
        <w:rPr>
          <w:rFonts w:ascii="Times New Roman" w:eastAsia="Times New Roman" w:hAnsi="Times New Roman" w:cs="Times New Roman"/>
          <w:b/>
          <w:sz w:val="24"/>
        </w:rPr>
        <w:t>17.04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8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0A2EE7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1 na </w:t>
      </w:r>
      <w:r w:rsidR="00BD2EA2">
        <w:rPr>
          <w:rFonts w:ascii="Times New Roman" w:eastAsia="Arial" w:hAnsi="Times New Roman" w:cs="Times New Roman"/>
          <w:sz w:val="24"/>
          <w:u w:val="single" w:color="000000"/>
        </w:rPr>
        <w:t>22</w:t>
      </w:r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0A2EE7" w:rsidRDefault="000A2EE7" w:rsidP="00C319D2">
      <w:pPr>
        <w:spacing w:after="0"/>
        <w:rPr>
          <w:rFonts w:ascii="Times New Roman" w:hAnsi="Times New Roman" w:cs="Times New Roman"/>
        </w:rPr>
      </w:pPr>
    </w:p>
    <w:p w:rsidR="000A2EE7" w:rsidRDefault="000A2EE7" w:rsidP="00C319D2">
      <w:pPr>
        <w:spacing w:after="0"/>
        <w:rPr>
          <w:rFonts w:ascii="Times New Roman" w:hAnsi="Times New Roman" w:cs="Times New Roman"/>
        </w:rPr>
      </w:pPr>
    </w:p>
    <w:p w:rsidR="000A2EE7" w:rsidRDefault="000A2EE7" w:rsidP="00C319D2">
      <w:pPr>
        <w:spacing w:after="0"/>
        <w:rPr>
          <w:rFonts w:ascii="Times New Roman" w:hAnsi="Times New Roman" w:cs="Times New Roman"/>
        </w:rPr>
      </w:pPr>
    </w:p>
    <w:p w:rsidR="000A2EE7" w:rsidRDefault="000A2EE7" w:rsidP="00C319D2">
      <w:pPr>
        <w:spacing w:after="0"/>
        <w:rPr>
          <w:rFonts w:ascii="Times New Roman" w:hAnsi="Times New Roman" w:cs="Times New Roman"/>
        </w:rPr>
      </w:pPr>
    </w:p>
    <w:p w:rsidR="00BD2EA2" w:rsidRDefault="00BD2EA2" w:rsidP="00C319D2">
      <w:pPr>
        <w:spacing w:after="0"/>
        <w:rPr>
          <w:rFonts w:ascii="Times New Roman" w:hAnsi="Times New Roman" w:cs="Times New Roman"/>
        </w:rPr>
      </w:pPr>
    </w:p>
    <w:p w:rsidR="00BD2EA2" w:rsidRDefault="00BD2EA2" w:rsidP="00C319D2">
      <w:pPr>
        <w:spacing w:after="0"/>
        <w:rPr>
          <w:rFonts w:ascii="Times New Roman" w:hAnsi="Times New Roman" w:cs="Times New Roman"/>
        </w:rPr>
      </w:pPr>
    </w:p>
    <w:p w:rsidR="000A2EE7" w:rsidRPr="001E01E2" w:rsidRDefault="000A2EE7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lastRenderedPageBreak/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039"/>
        <w:gridCol w:w="2830"/>
        <w:gridCol w:w="1941"/>
        <w:gridCol w:w="1839"/>
        <w:gridCol w:w="1821"/>
      </w:tblGrid>
      <w:tr w:rsidR="00C75B42" w:rsidRPr="001E01E2" w:rsidTr="00C75B42">
        <w:trPr>
          <w:trHeight w:val="520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B42" w:rsidRPr="001E01E2" w:rsidRDefault="00C75B42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B42" w:rsidRPr="001E01E2" w:rsidRDefault="00C75B4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B42" w:rsidRPr="001E01E2" w:rsidRDefault="00C75B42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C75B42" w:rsidRPr="001E01E2" w:rsidTr="00C75B42">
        <w:trPr>
          <w:trHeight w:val="520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42" w:rsidRPr="001E01E2" w:rsidRDefault="00C75B42">
            <w:pPr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42" w:rsidRPr="001E01E2" w:rsidRDefault="00C75B42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B42" w:rsidRPr="001E01E2" w:rsidRDefault="00C75B42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</w:rPr>
              <w:t>kpl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2" w:rsidRDefault="00C75B42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C75B42" w:rsidRDefault="00594A0B" w:rsidP="00C75B42">
            <w:pPr>
              <w:spacing w:line="360" w:lineRule="auto"/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6</w:t>
            </w:r>
            <w:r w:rsidR="00C75B4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proofErr w:type="spellStart"/>
            <w:r w:rsidR="00C75B42">
              <w:rPr>
                <w:rFonts w:ascii="Times New Roman" w:eastAsia="Arial" w:hAnsi="Times New Roman" w:cs="Times New Roman"/>
                <w:b/>
                <w:sz w:val="20"/>
              </w:rPr>
              <w:t>kpl</w:t>
            </w:r>
            <w:proofErr w:type="spellEnd"/>
            <w:r w:rsidR="00C75B42">
              <w:rPr>
                <w:rFonts w:ascii="Times New Roman" w:eastAsia="Arial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B42" w:rsidRDefault="00594A0B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12</w:t>
            </w:r>
            <w:r w:rsidR="00C75B4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proofErr w:type="spellStart"/>
            <w:r w:rsidR="00C75B42">
              <w:rPr>
                <w:rFonts w:ascii="Times New Roman" w:eastAsia="Arial" w:hAnsi="Times New Roman" w:cs="Times New Roman"/>
                <w:b/>
                <w:sz w:val="20"/>
              </w:rPr>
              <w:t>kpl</w:t>
            </w:r>
            <w:proofErr w:type="spellEnd"/>
            <w:r w:rsidR="00C75B42">
              <w:rPr>
                <w:rFonts w:ascii="Times New Roman" w:eastAsia="Arial" w:hAnsi="Times New Roman" w:cs="Times New Roman"/>
                <w:b/>
                <w:sz w:val="20"/>
              </w:rPr>
              <w:t xml:space="preserve">. </w:t>
            </w:r>
          </w:p>
        </w:tc>
      </w:tr>
      <w:tr w:rsidR="00C75B42" w:rsidRPr="001E01E2" w:rsidTr="00C75B42">
        <w:trPr>
          <w:trHeight w:val="130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42" w:rsidRPr="001E01E2" w:rsidRDefault="00C75B42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2" w:rsidRDefault="00C75B42">
            <w:pPr>
              <w:ind w:left="26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BD2EA2" w:rsidRDefault="00BD2EA2" w:rsidP="00440B72">
            <w:pPr>
              <w:ind w:left="26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C75B42" w:rsidRPr="001E01E2" w:rsidRDefault="00440B72" w:rsidP="00440B72">
            <w:pPr>
              <w:ind w:left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Spycharko- ładowarka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42" w:rsidRPr="001E01E2" w:rsidRDefault="00C75B42" w:rsidP="00C319D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2" w:rsidRPr="001E01E2" w:rsidRDefault="00C75B4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B42" w:rsidRPr="001E01E2" w:rsidRDefault="00C75B4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B42" w:rsidRPr="001E01E2" w:rsidTr="00C63A79">
        <w:trPr>
          <w:trHeight w:val="400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B42" w:rsidRDefault="00C75B42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  <w:p w:rsidR="007910FF" w:rsidRDefault="007910FF" w:rsidP="007910FF">
            <w:pPr>
              <w:pStyle w:val="Nagwek1"/>
              <w:numPr>
                <w:ilvl w:val="0"/>
                <w:numId w:val="0"/>
              </w:numPr>
              <w:jc w:val="center"/>
              <w:outlineLvl w:val="0"/>
            </w:pPr>
          </w:p>
          <w:p w:rsidR="00440B72" w:rsidRPr="00440B72" w:rsidRDefault="00440B72" w:rsidP="00440B72">
            <w:pPr>
              <w:keepNext/>
              <w:autoSpaceDE w:val="0"/>
              <w:autoSpaceDN w:val="0"/>
              <w:adjustRightInd w:val="0"/>
              <w:spacing w:line="240" w:lineRule="atLeast"/>
              <w:ind w:left="360"/>
              <w:outlineLvl w:val="0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keepNext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WYMAGANIA EKSPLOATACYJNO - TECHNICZNE -</w:t>
            </w:r>
          </w:p>
          <w:p w:rsidR="00440B72" w:rsidRPr="00440B72" w:rsidRDefault="00440B72" w:rsidP="00440B7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dostawa </w:t>
            </w: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spycharko-ładowarki</w:t>
            </w:r>
          </w:p>
          <w:p w:rsidR="00440B72" w:rsidRPr="00440B72" w:rsidRDefault="00440B72" w:rsidP="00440B7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</w:pPr>
          </w:p>
          <w:p w:rsidR="00440B72" w:rsidRPr="00440B72" w:rsidRDefault="00440B72" w:rsidP="00440B72">
            <w:pPr>
              <w:numPr>
                <w:ilvl w:val="0"/>
                <w:numId w:val="20"/>
              </w:numPr>
              <w:ind w:left="357" w:hanging="357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Wstęp:</w:t>
            </w:r>
          </w:p>
          <w:p w:rsidR="00440B72" w:rsidRPr="00440B72" w:rsidRDefault="00440B72" w:rsidP="00440B72">
            <w:pPr>
              <w:ind w:left="357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spacing w:line="276" w:lineRule="auto"/>
              <w:ind w:left="426" w:firstLine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Niniejsze  Wymagania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Eksploatacyjno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- Techniczne (WET) dotyczą dostawy wyrobu o nazwie </w:t>
            </w: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spycharko-ładowarka.</w:t>
            </w:r>
          </w:p>
          <w:p w:rsidR="00440B72" w:rsidRPr="00440B72" w:rsidRDefault="00440B72" w:rsidP="00440B72">
            <w:pPr>
              <w:spacing w:before="120" w:after="120" w:line="276" w:lineRule="auto"/>
              <w:ind w:left="426" w:firstLine="425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Przedmiotem zamówienia jest spycharko-ładowarka przeznaczona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do prowadzania prac ziemnych z wykorzystaniem wieloczynnościowej łyżki spełniającej rolę spychania urobku oraz załadunku z wykorzystaniem funkcji ładowania. W ramach dostawy maszyna powinna spełniają inne funkcje zgodnie z poniższymi wymogami.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Maszyna ma być przystosowana do pracy w różnych warunkach atmosferycznych i terenowych.</w:t>
            </w:r>
          </w:p>
          <w:p w:rsidR="00440B72" w:rsidRPr="00440B72" w:rsidRDefault="00440B72" w:rsidP="00440B72">
            <w:pPr>
              <w:spacing w:before="120" w:after="120" w:line="276" w:lineRule="auto"/>
              <w:ind w:left="-142" w:firstLine="425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1.1 Wymagania ogólne</w:t>
            </w:r>
          </w:p>
          <w:p w:rsidR="00440B72" w:rsidRPr="00440B72" w:rsidRDefault="00440B72" w:rsidP="00440B72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300" w:lineRule="auto"/>
              <w:ind w:right="-2"/>
              <w:jc w:val="both"/>
              <w:rPr>
                <w:rFonts w:ascii="Arial" w:eastAsia="Times New Roman" w:hAnsi="Arial" w:cs="Arial"/>
                <w:color w:val="auto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1.1.1. Pojazdy muszą spełniać wymagania określone w</w:t>
            </w:r>
            <w:r w:rsidRPr="00440B72">
              <w:rPr>
                <w:rFonts w:ascii="Arial" w:eastAsia="Times New Roman" w:hAnsi="Arial" w:cs="Arial"/>
                <w:color w:val="auto"/>
              </w:rPr>
              <w:t xml:space="preserve"> następujących aktach prawnych:</w:t>
            </w:r>
          </w:p>
          <w:p w:rsidR="00440B72" w:rsidRPr="00440B72" w:rsidRDefault="00440B72" w:rsidP="00440B7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00" w:lineRule="auto"/>
              <w:ind w:left="993" w:right="-142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 xml:space="preserve">ustawie z dnia 20 czerwca 1997 r. „Prawo o ruchu drogowym” (tekst jednolity: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Dz.U.2023.1047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t.j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. z dnia 2023.06.01 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późn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zm.);</w:t>
            </w:r>
          </w:p>
          <w:p w:rsidR="00440B72" w:rsidRPr="00440B72" w:rsidRDefault="00440B72" w:rsidP="00440B7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00" w:lineRule="auto"/>
              <w:ind w:left="993" w:right="-142" w:hanging="284"/>
              <w:jc w:val="both"/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 xml:space="preserve">rozporządzeniu Ministra Infrastruktury z dnia 31 grudnia 2002 r. w sprawie warunków technicznych pojazdów oraz zakresu ich niezbędnego wyposażenia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(tekst jednolity: Dz.U.2016.2022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t.j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. z dnia 2016.12.15 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późn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zm.);</w:t>
            </w:r>
          </w:p>
          <w:p w:rsidR="00440B72" w:rsidRPr="00440B72" w:rsidRDefault="00440B72" w:rsidP="00440B7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00" w:lineRule="auto"/>
              <w:ind w:left="993" w:right="-142" w:hanging="284"/>
              <w:jc w:val="both"/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 xml:space="preserve">rozporządzeniu Ministra Obrony Narodowej z 23 maja 2012 r. w sprawie rejestracji pojazdów Sił Zbrojnych Rzeczypospolitej Polskiej oraz pojazdów należących do obcych sił zbrojnych przebywających na terytorium Rzeczypospolitej Polskiej na podstawie umów międzynarodowych </w:t>
            </w: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br/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(tekst jednolity: Dz. U. z 2022 r. poz. 300 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późn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zm.);</w:t>
            </w:r>
          </w:p>
          <w:p w:rsidR="00440B72" w:rsidRPr="00440B72" w:rsidRDefault="00440B72" w:rsidP="00440B7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00" w:lineRule="auto"/>
              <w:ind w:left="993" w:right="-142" w:hanging="284"/>
              <w:jc w:val="both"/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lastRenderedPageBreak/>
              <w:t>decyzji</w:t>
            </w:r>
            <w:r w:rsidRPr="00440B72">
              <w:rPr>
                <w:rFonts w:ascii="Arial" w:eastAsia="Times New Roman" w:hAnsi="Arial" w:cs="Arial"/>
                <w:bCs/>
                <w:i/>
                <w:color w:val="auto"/>
                <w:sz w:val="24"/>
                <w:szCs w:val="24"/>
              </w:rPr>
              <w:t xml:space="preserve"> nr 3/MON Ministra Obrony Narodowej </w:t>
            </w: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 xml:space="preserve">z dnia 3 stycznia 2014 r. </w:t>
            </w: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br/>
            </w:r>
            <w:r w:rsidRPr="00440B72">
              <w:rPr>
                <w:rFonts w:ascii="Arial" w:eastAsia="Times New Roman" w:hAnsi="Arial" w:cs="Arial"/>
                <w:bCs/>
                <w:i/>
                <w:color w:val="auto"/>
                <w:sz w:val="24"/>
                <w:szCs w:val="24"/>
              </w:rPr>
              <w:t>w sprawie wytycznych określających wymagania w zakresie znakowania kodem kreskowym wyrobów dostarczanych do resortu obrony narodowej</w:t>
            </w:r>
            <w:r w:rsidRPr="00440B72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00" w:lineRule="auto"/>
              <w:ind w:left="993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(Dz.Urz.MON.2014.11 z dnia 2014.01.07 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późn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zm.).</w:t>
            </w:r>
          </w:p>
          <w:p w:rsidR="00440B72" w:rsidRPr="00440B72" w:rsidRDefault="00440B72" w:rsidP="00440B7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00" w:lineRule="auto"/>
              <w:ind w:left="709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1.1.2.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Przed przekazaniem pojazdów Zamawiającemu, wykonawca jest zobowiązany dostarczyć do Wydziału Centralnej Rejestracji Pojazdów Sił Zbrojnych i Ubezpieczeń Komunikacyjnych „Zaświadczenie o wyznaczeniu klasy MLC dla pojazdu wojskowego” wystawione przez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WITPiS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 Sulejówku, celem jej wpisania do dowodu rejestracyjnego pojazdu.</w:t>
            </w:r>
          </w:p>
          <w:p w:rsidR="00440B72" w:rsidRPr="00440B72" w:rsidRDefault="00440B72" w:rsidP="00440B7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00" w:lineRule="auto"/>
              <w:ind w:left="709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1.3. Wykonawca przed przekazaniem pojazdów Zamawiającemu jest zobowiązany dokonać oznakowania pojazdów MLC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1"/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 sposób podany w Normie Obronnej nr NO-02-A126:2018.</w:t>
            </w:r>
          </w:p>
          <w:p w:rsidR="00440B72" w:rsidRPr="00440B72" w:rsidRDefault="00440B72" w:rsidP="00440B7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00" w:lineRule="auto"/>
              <w:ind w:left="709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Wymagania </w:t>
            </w:r>
            <w:proofErr w:type="spellStart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eksploatacyjno</w:t>
            </w:r>
            <w:proofErr w:type="spellEnd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- techniczne:</w:t>
            </w:r>
          </w:p>
          <w:p w:rsidR="00440B72" w:rsidRPr="00440B72" w:rsidRDefault="00440B72" w:rsidP="00440B72">
            <w:pPr>
              <w:numPr>
                <w:ilvl w:val="1"/>
                <w:numId w:val="20"/>
              </w:num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Podstawowe parametry i wymiary:</w:t>
            </w:r>
          </w:p>
          <w:p w:rsidR="00440B72" w:rsidRPr="00440B72" w:rsidRDefault="00440B72" w:rsidP="00440B72">
            <w:pPr>
              <w:numPr>
                <w:ilvl w:val="2"/>
                <w:numId w:val="20"/>
              </w:numPr>
              <w:tabs>
                <w:tab w:val="num" w:pos="567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Warunki pracy:</w:t>
            </w:r>
          </w:p>
          <w:p w:rsidR="00440B72" w:rsidRPr="00440B72" w:rsidRDefault="00440B72" w:rsidP="00440B72">
            <w:pPr>
              <w:numPr>
                <w:ilvl w:val="3"/>
                <w:numId w:val="20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Maszyna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 zależności od rodzaju zastosowanego osprzętu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przeznaczona jest do: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wykonywania wykopów; 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wyrównywania terenu; 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zasypywania rowów, lejów, schronów, załadunku ziemią i kruszywem środków transportowych;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skrawania, spychania gruntu ze zboczy, zwałowania;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załadunku materiałów sypkich na środki transportu; 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odśnieżania placów i dróg;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załadunku pni drzew i półfabrykatów budowlanych na bliskie odległości;</w:t>
            </w:r>
          </w:p>
          <w:p w:rsidR="00440B72" w:rsidRPr="00440B72" w:rsidRDefault="00440B72" w:rsidP="00440B72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wykonywania przeładunków za pomocą osprzętu widłowego.</w:t>
            </w:r>
          </w:p>
          <w:p w:rsidR="00440B72" w:rsidRPr="00440B72" w:rsidRDefault="00440B72" w:rsidP="00440B72">
            <w:pPr>
              <w:numPr>
                <w:ilvl w:val="3"/>
                <w:numId w:val="20"/>
              </w:numPr>
              <w:tabs>
                <w:tab w:val="left" w:pos="993"/>
              </w:tabs>
              <w:spacing w:after="12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Maszyna powinna posiadać możliwość nieprzerwanej pracy ze średnim obciążeniem do minimum 10 godzin.</w:t>
            </w:r>
          </w:p>
          <w:p w:rsidR="00440B72" w:rsidRPr="00440B72" w:rsidRDefault="00440B72" w:rsidP="00440B72">
            <w:pPr>
              <w:numPr>
                <w:ilvl w:val="2"/>
                <w:numId w:val="20"/>
              </w:numPr>
              <w:tabs>
                <w:tab w:val="num" w:pos="567"/>
              </w:tabs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Dane wyjściowe:</w:t>
            </w:r>
          </w:p>
          <w:p w:rsidR="00440B72" w:rsidRPr="00440B72" w:rsidRDefault="00440B72" w:rsidP="00440B72">
            <w:pPr>
              <w:spacing w:before="40" w:after="40" w:line="276" w:lineRule="auto"/>
              <w:ind w:left="720" w:hanging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2.1.2.1.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Dostarczany wyrób musi być fabrycznie nowy i pochodzić z bieżącego roku produkcji lub roku poprzedniego względem roku dostawy. Główne kryteria konstrukcyjne to: optymalizacja parametrów technicznych, żywotność, niezawodność pracy, maksymalna unifikacja zespołów i części, wysoki stopień łatwości obsługi i napraw serwisowych.</w:t>
            </w:r>
          </w:p>
          <w:p w:rsidR="00440B72" w:rsidRPr="00440B72" w:rsidRDefault="00440B72" w:rsidP="00440B72">
            <w:pPr>
              <w:spacing w:before="40" w:after="40" w:line="276" w:lineRule="auto"/>
              <w:ind w:left="720" w:hanging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2.1.2.2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Maszyna powinna składać się z podstawowych zespołów: podwozia , nadwozia i układu roboczego.</w:t>
            </w:r>
          </w:p>
          <w:p w:rsidR="00440B72" w:rsidRPr="00440B72" w:rsidRDefault="00440B72" w:rsidP="00440B72">
            <w:pPr>
              <w:spacing w:before="40" w:after="40" w:line="276" w:lineRule="auto"/>
              <w:ind w:left="709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podwozie – rama przegubowa spoczywająca na dwóch mostach napędowych. Most przedni zamocowany na sztywno do ramy, tylny jest wahliwy. Spełnia warunki ruchu drogowego w Polsce.</w:t>
            </w:r>
          </w:p>
          <w:p w:rsidR="00440B72" w:rsidRPr="00440B72" w:rsidRDefault="00440B72" w:rsidP="00440B72">
            <w:pPr>
              <w:spacing w:before="40" w:after="40" w:line="276" w:lineRule="auto"/>
              <w:ind w:left="709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- nadwozie – kabina maszyny z osłoną ROPS-FOPS, błotniki i podesty robocze ze zbiornikami.</w:t>
            </w:r>
          </w:p>
          <w:p w:rsidR="00440B72" w:rsidRPr="00440B72" w:rsidRDefault="00440B72" w:rsidP="00440B72">
            <w:pPr>
              <w:tabs>
                <w:tab w:val="left" w:pos="851"/>
              </w:tabs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układ roboczy – typu równoległego zapewniający optymalne kąty wysypu w całym zakresie pracy układu zapewniający wysoką trwałość i niezawodność działania,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pozwalającyc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na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możliwość szybkiej zmiany rodzaju wykonywanych robót, poprzez instalację osprzętu z wykorzystaniem szybkozłącza, takiego jak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łyżka dzielona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Drotta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 łyżka ładowarkowa z pełnymi zębami, widły do palet.</w:t>
            </w:r>
          </w:p>
          <w:p w:rsidR="00440B72" w:rsidRPr="00440B72" w:rsidRDefault="00440B72" w:rsidP="00440B72">
            <w:pPr>
              <w:spacing w:line="276" w:lineRule="auto"/>
              <w:ind w:left="63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2.1.2.3.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Wyrób powinien zostać wykonany  i ukompletowany oraz spełniać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nw. parametry techniczne: 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spacing w:line="276" w:lineRule="auto"/>
              <w:ind w:left="851" w:hanging="218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masa eksploatacyjna: 18-28 t,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napęd 4x4,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gabaryty maszyny powinny zapewnić jej możliwość:</w:t>
            </w:r>
          </w:p>
          <w:p w:rsidR="00440B72" w:rsidRPr="00440B72" w:rsidRDefault="00440B72" w:rsidP="00440B72">
            <w:pPr>
              <w:numPr>
                <w:ilvl w:val="0"/>
                <w:numId w:val="45"/>
              </w:numPr>
              <w:tabs>
                <w:tab w:val="left" w:pos="851"/>
              </w:tabs>
              <w:spacing w:line="276" w:lineRule="auto"/>
              <w:ind w:left="1418" w:hanging="20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przewozu transportem kolejowym na platformach typu „R” i „S” bez przekraczania skrajni kolejowej dopuszczonej do ruchu krajowego;</w:t>
            </w:r>
          </w:p>
          <w:p w:rsidR="00440B72" w:rsidRPr="00440B72" w:rsidRDefault="00440B72" w:rsidP="00440B72">
            <w:pPr>
              <w:numPr>
                <w:ilvl w:val="0"/>
                <w:numId w:val="45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przewozu zestawem niskopodwoziowym;</w:t>
            </w:r>
          </w:p>
          <w:p w:rsidR="00440B72" w:rsidRPr="00440B72" w:rsidRDefault="00440B72" w:rsidP="00440B72">
            <w:pPr>
              <w:numPr>
                <w:ilvl w:val="0"/>
                <w:numId w:val="45"/>
              </w:numPr>
              <w:tabs>
                <w:tab w:val="left" w:pos="851"/>
              </w:tabs>
              <w:spacing w:line="276" w:lineRule="auto"/>
              <w:ind w:left="1418" w:hanging="20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samodzielnych przejazdów po drogach publicznych, po uzyskaniu zezwolenia jeśli jest wymagane.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szerokość łyżki o wymiarach co najmniej równych szerokości maszyny;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udźwig optymalny min. 6,4 ton; 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wysokość do sworznia obrotu łyżki minimum 4000 mm;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wysokość wyładunku przy  kącie 45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t xml:space="preserve">O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 min. 2,8 m;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nominalne napięcie w instalacji elektrycznej – 24V;</w:t>
            </w:r>
          </w:p>
          <w:p w:rsidR="00440B72" w:rsidRPr="00440B72" w:rsidRDefault="00440B72" w:rsidP="00440B72">
            <w:pPr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993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wymagania zawarte w niniejszych warunkach technicznych podlegają ocenie jakości w ramach odbioru wojskowego realizowanego zgodnie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z wymaganiami AQAP 2131.</w:t>
            </w:r>
          </w:p>
          <w:p w:rsidR="00440B72" w:rsidRPr="00440B72" w:rsidRDefault="00440B72" w:rsidP="00440B72">
            <w:pPr>
              <w:tabs>
                <w:tab w:val="left" w:pos="851"/>
              </w:tabs>
              <w:spacing w:line="276" w:lineRule="auto"/>
              <w:ind w:left="851" w:hanging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2.1.2.4.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Maszyna powinna być wyposażona w: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osprzęt roboczy z systemem szybkozłącza;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sprężarkę z przewodem ciśnieniowym;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zestaw narzędzi saperskich (łopatę, piłę, oskard);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zasobnik na plecak i zaczepy do mocowania siatki maskującej;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uchwyty do zamocowania osłon kratowych szyb;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oświetlenie robocze oraz do jazdy po drogach publicznych;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opony rozmiar 23,5R25, terenowe, całoroczne, bezdętkowe, wzmocnione;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wciągarka – o sile uciągu równej min. 10 ton;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 w:hanging="284"/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przeciwwaga standardowa (fabryczna).</w:t>
            </w:r>
            <w:r w:rsidRPr="00440B72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Dopuszcza się zastosowanie innej przeciwwagi niż standardowa pod warunkiem zamontowania wciągarki powyżej dolnej krawędzi zawieszenia maszyny.</w:t>
            </w:r>
            <w:r w:rsidRPr="00440B7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tabs>
                <w:tab w:val="left" w:pos="851"/>
              </w:tabs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18"/>
                <w:szCs w:val="24"/>
              </w:rPr>
            </w:pPr>
          </w:p>
          <w:p w:rsidR="00440B72" w:rsidRPr="00440B72" w:rsidRDefault="00440B72" w:rsidP="00440B72">
            <w:pPr>
              <w:numPr>
                <w:ilvl w:val="2"/>
                <w:numId w:val="20"/>
              </w:num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Wymagania techniczne:</w:t>
            </w:r>
          </w:p>
          <w:p w:rsidR="00440B72" w:rsidRPr="00440B72" w:rsidRDefault="00440B72" w:rsidP="00440B72">
            <w:pPr>
              <w:ind w:left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Maszyna powinna spełniać wymogi określone w Rozporządzeniu Ministra Gospodarki z dnia 21 października 2008 r. w sprawie zasadniczych wymagań dla maszyn (Dz. U. z 2008 nr 199, poz. 1228 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późn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zm.), powinna być oznakowana klasą MLC.</w:t>
            </w:r>
          </w:p>
          <w:p w:rsidR="00440B72" w:rsidRPr="00440B72" w:rsidRDefault="00440B72" w:rsidP="00440B72">
            <w:pPr>
              <w:numPr>
                <w:ilvl w:val="0"/>
                <w:numId w:val="25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Osprzęt roboczy:</w:t>
            </w:r>
          </w:p>
          <w:p w:rsidR="00440B72" w:rsidRPr="00440B72" w:rsidRDefault="00440B72" w:rsidP="00440B72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Ukompletowanie podstawowe: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szybkozłącze hydrauliczne;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bookmarkStart w:id="0" w:name="_Hlk159929833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łyżka dzielona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Drotta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z zębami </w:t>
            </w:r>
            <w:bookmarkEnd w:id="0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 pojemności  2,6-3 m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t>3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mocowana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na szybkozłącze;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łyżka </w:t>
            </w:r>
            <w:bookmarkStart w:id="1" w:name="_Hlk159929791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ładowarkowa z pełnymi zębami </w:t>
            </w:r>
            <w:bookmarkEnd w:id="1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pojemność 3,2-4m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t>3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mocowana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na szybkozłącze;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widły paletowe o udźwigu optymalnym. min. 6,4 t mocowane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na szybkozłącze;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chwytak do drewna;</w:t>
            </w:r>
          </w:p>
          <w:p w:rsidR="00440B72" w:rsidRPr="00440B72" w:rsidRDefault="00440B72" w:rsidP="00440B72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układ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samopoziomowania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łyżki lub wideł.</w:t>
            </w:r>
          </w:p>
          <w:p w:rsidR="00440B72" w:rsidRPr="00440B72" w:rsidRDefault="00440B72" w:rsidP="00440B72">
            <w:pPr>
              <w:numPr>
                <w:ilvl w:val="0"/>
                <w:numId w:val="25"/>
              </w:numPr>
              <w:spacing w:line="276" w:lineRule="auto"/>
              <w:ind w:left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Silnik maszyny</w:t>
            </w:r>
          </w:p>
          <w:p w:rsidR="00440B72" w:rsidRPr="00440B72" w:rsidRDefault="00440B72" w:rsidP="00440B72">
            <w:pPr>
              <w:spacing w:line="276" w:lineRule="auto"/>
              <w:ind w:left="72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Maszyna wyposażona w silnik wysokoprężnych dostosowany do użytkowania z paliwami i smarami stosowanymi w SZ RP. Silnik spełniający normę emisji spalin min.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Stage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IV o mocy minimalnej brutto według normy ISO 14396 min 190 kW i momencie obrotowym min. 1300 Nm. Pojemność silnika w zakresie od 6 litrów.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18"/>
                <w:szCs w:val="24"/>
                <w:highlight w:val="yellow"/>
              </w:rPr>
            </w:pPr>
          </w:p>
          <w:p w:rsidR="00440B72" w:rsidRPr="00440B72" w:rsidRDefault="00440B72" w:rsidP="00440B72">
            <w:pPr>
              <w:numPr>
                <w:ilvl w:val="0"/>
                <w:numId w:val="25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Kabina operatora;</w:t>
            </w:r>
          </w:p>
          <w:p w:rsidR="00440B72" w:rsidRPr="00440B72" w:rsidRDefault="00440B72" w:rsidP="00440B72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Kabina operatora powinna posiadać konstrukcję chroniącą przed skutkami wywrócenia i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przed spadającymi obiektami</w:t>
            </w:r>
            <w:r w:rsidRPr="00440B72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oraz posiadać urządzenia (układy) zmniejszające emisję hałasu. Kabina powinna być wyposażona w: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0B72" w:rsidRPr="00440B72" w:rsidRDefault="00440B72" w:rsidP="00440B72">
            <w:pPr>
              <w:spacing w:line="276" w:lineRule="auto"/>
              <w:ind w:left="720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sterowanie joystickami/dźwigniami, m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ożliwość wyboru kierunku jazdy manetką przy kierownicy oraz przełącznikiem w joysticku lub przełącznikiem obok niego;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kierownica z regulowaną kolumną umożliwiająca poruszanie się po drogach publicznych;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aktywne wspomaganie układu kierowniczego;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- panel sterowania zapewniający sterowanie przy ustawieniu fotela operatora  w przód oraz w tył,</w:t>
            </w:r>
          </w:p>
          <w:p w:rsidR="00440B72" w:rsidRPr="00440B72" w:rsidRDefault="00440B72" w:rsidP="00440B72">
            <w:pPr>
              <w:spacing w:line="276" w:lineRule="auto"/>
              <w:ind w:left="709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wskaźniki: motogodzin, paliwa, temperatury silnika,</w:t>
            </w:r>
          </w:p>
          <w:p w:rsidR="00440B72" w:rsidRPr="00440B72" w:rsidRDefault="00440B72" w:rsidP="00440B72">
            <w:pPr>
              <w:spacing w:line="276" w:lineRule="auto"/>
              <w:ind w:left="851" w:hanging="142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amortyzowany fotel operatora w pełni regulowany z pasami bezpieczeństwa,</w:t>
            </w:r>
          </w:p>
          <w:p w:rsidR="00440B72" w:rsidRPr="00440B72" w:rsidRDefault="00440B72" w:rsidP="00440B72">
            <w:pPr>
              <w:spacing w:line="276" w:lineRule="auto"/>
              <w:ind w:left="709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klimatyzację i ogrzewanie postojowe.</w:t>
            </w:r>
          </w:p>
          <w:p w:rsidR="00440B72" w:rsidRPr="00440B72" w:rsidRDefault="00440B72" w:rsidP="00440B72">
            <w:pPr>
              <w:numPr>
                <w:ilvl w:val="0"/>
                <w:numId w:val="25"/>
              </w:numPr>
              <w:spacing w:before="240" w:line="276" w:lineRule="auto"/>
              <w:ind w:left="142" w:hanging="35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Wyposażenie dodatkowe:</w:t>
            </w:r>
          </w:p>
          <w:p w:rsidR="00440B72" w:rsidRPr="00440B72" w:rsidRDefault="00440B72" w:rsidP="00440B72">
            <w:pPr>
              <w:tabs>
                <w:tab w:val="left" w:pos="851"/>
              </w:tabs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system ważący ciężar ładunku;</w:t>
            </w:r>
          </w:p>
          <w:p w:rsidR="00440B72" w:rsidRPr="00440B72" w:rsidRDefault="00440B72" w:rsidP="00440B72">
            <w:pPr>
              <w:spacing w:line="276" w:lineRule="auto"/>
              <w:ind w:left="851"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wbudowana elektroniczna instrukcja obsługi w maszynie dla operatora w języku polskim wyświetlana na dodatkowym monitorze.</w:t>
            </w:r>
          </w:p>
          <w:p w:rsidR="00440B72" w:rsidRPr="00440B72" w:rsidRDefault="00440B72" w:rsidP="00440B72">
            <w:pPr>
              <w:spacing w:line="276" w:lineRule="auto"/>
              <w:ind w:left="993" w:hanging="142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system codziennej, automatycznej kontroli podstawowych parametrów, stanu płynów eksploatacyjnych, zapchania filtra powietrza. informacje zawarte na wyświetlaczu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lcd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błotniki przód / tył;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obrotowe światło ostrzegawcze;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światła do jazdy po drogach publicznych;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manometr do mierzenia ciśnienia;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apteczka;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gaśnica;</w:t>
            </w:r>
          </w:p>
          <w:p w:rsidR="00440B72" w:rsidRPr="00440B72" w:rsidRDefault="00440B72" w:rsidP="00440B72">
            <w:pPr>
              <w:spacing w:line="276" w:lineRule="auto"/>
              <w:ind w:left="709"/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- skrzynka narzędziowa.</w:t>
            </w:r>
          </w:p>
          <w:p w:rsidR="00440B72" w:rsidRPr="00440B72" w:rsidRDefault="00440B72" w:rsidP="00440B72">
            <w:pPr>
              <w:numPr>
                <w:ilvl w:val="0"/>
                <w:numId w:val="25"/>
              </w:numPr>
              <w:spacing w:before="240" w:line="276" w:lineRule="auto"/>
              <w:ind w:left="142" w:hanging="35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Powłoki lakiernicze</w:t>
            </w:r>
          </w:p>
          <w:p w:rsidR="00440B72" w:rsidRPr="00440B72" w:rsidRDefault="00440B72" w:rsidP="00440B72">
            <w:pPr>
              <w:spacing w:before="60" w:line="276" w:lineRule="auto"/>
              <w:ind w:left="426" w:firstLine="282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Powłoki lakiernicze spycharko ładowarki</w:t>
            </w:r>
            <w:r w:rsidRPr="00440B7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powinny być wykonane w kolorze khaki (tj. RAL 6006 matowy).</w:t>
            </w:r>
          </w:p>
          <w:p w:rsidR="00440B72" w:rsidRPr="00440B72" w:rsidRDefault="00440B72" w:rsidP="00440B72">
            <w:pPr>
              <w:spacing w:before="60" w:line="276" w:lineRule="auto"/>
              <w:ind w:left="426" w:firstLine="282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Powłoka ochronna spycharko- ładowarki powinna być odporna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na oddziaływanie roztworów chemicznych stosowanych podczas odkażania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w przypadku skażenia chemicznego (np. roztworów zawierających chlorek wapnia).  </w:t>
            </w:r>
          </w:p>
          <w:p w:rsidR="00440B72" w:rsidRPr="00440B72" w:rsidRDefault="00440B72" w:rsidP="00440B72">
            <w:pPr>
              <w:spacing w:before="60" w:line="276" w:lineRule="auto"/>
              <w:ind w:left="426" w:firstLine="282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Wygląd powierzchni zewnętrznych i wewnętrznych spycharko-ładowarki powinien być estetyczny, bez zacieków, pęcherzy, zabrudzeń i pęknięć.</w:t>
            </w:r>
          </w:p>
          <w:p w:rsidR="00440B72" w:rsidRPr="00440B72" w:rsidRDefault="00440B72" w:rsidP="00440B72">
            <w:pPr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  <w:p w:rsidR="00440B72" w:rsidRPr="00440B72" w:rsidRDefault="00440B72" w:rsidP="00440B72">
            <w:pPr>
              <w:numPr>
                <w:ilvl w:val="1"/>
                <w:numId w:val="20"/>
              </w:numPr>
              <w:spacing w:after="120" w:line="276" w:lineRule="auto"/>
              <w:ind w:left="539" w:hanging="539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Wymagania odnośnie odporności całkowitej oraz wytrzymałości </w:t>
            </w: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br/>
              <w:t>i odporności na oddziaływanie  czynników środowiskowych:</w:t>
            </w:r>
          </w:p>
          <w:p w:rsidR="00440B72" w:rsidRPr="00440B72" w:rsidRDefault="00440B72" w:rsidP="00440B72">
            <w:pPr>
              <w:numPr>
                <w:ilvl w:val="2"/>
                <w:numId w:val="20"/>
              </w:numPr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Wymagania dotyczące oddziaływań klimatycznych:</w:t>
            </w:r>
          </w:p>
          <w:p w:rsidR="00440B72" w:rsidRPr="00440B72" w:rsidRDefault="00440B72" w:rsidP="00440B72">
            <w:pPr>
              <w:spacing w:before="60" w:line="276" w:lineRule="auto"/>
              <w:ind w:left="708" w:firstLine="12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highlight w:val="yellow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Maszyna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powinna być odporna na działanie niesprzyjających warunków atmosferycznych zgodnie z NO-06-A103:2021 „Sprzęt wojskowy – Ogólne wymagania techniczne, metody kontroli i badań – Wymagania środowiskowe”.</w:t>
            </w:r>
          </w:p>
          <w:p w:rsidR="00440B72" w:rsidRPr="00440B72" w:rsidRDefault="00440B72" w:rsidP="00440B72">
            <w:pPr>
              <w:numPr>
                <w:ilvl w:val="1"/>
                <w:numId w:val="20"/>
              </w:numPr>
              <w:tabs>
                <w:tab w:val="left" w:pos="284"/>
              </w:tabs>
              <w:spacing w:before="120" w:after="120" w:line="276" w:lineRule="auto"/>
              <w:ind w:left="284" w:hanging="284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Zestaw (komplet):</w:t>
            </w:r>
          </w:p>
          <w:p w:rsidR="00440B72" w:rsidRPr="00440B72" w:rsidRDefault="00440B72" w:rsidP="00440B72">
            <w:pPr>
              <w:numPr>
                <w:ilvl w:val="2"/>
                <w:numId w:val="20"/>
              </w:numPr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Wykaz kompletności wyrobu:</w:t>
            </w:r>
          </w:p>
          <w:p w:rsidR="00440B72" w:rsidRPr="00440B72" w:rsidRDefault="00440B72" w:rsidP="00440B72">
            <w:pPr>
              <w:tabs>
                <w:tab w:val="num" w:pos="709"/>
              </w:tabs>
              <w:spacing w:line="276" w:lineRule="auto"/>
              <w:ind w:left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ab/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Wyrób powinien</w:t>
            </w: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być wykonany zgodnie z opisem jak w pkt. 2.1.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oraz posiadać dodatkowo:</w:t>
            </w:r>
          </w:p>
          <w:p w:rsidR="00440B72" w:rsidRPr="00440B72" w:rsidRDefault="00440B72" w:rsidP="00440B72">
            <w:pPr>
              <w:spacing w:line="276" w:lineRule="auto"/>
              <w:ind w:left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zestaw narzędzi zgodnie z pkt 2.3.2</w:t>
            </w:r>
            <w:r w:rsidRPr="00440B72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:rsidR="00440B72" w:rsidRPr="00440B72" w:rsidRDefault="00440B72" w:rsidP="00440B72">
            <w:pPr>
              <w:spacing w:line="276" w:lineRule="auto"/>
              <w:ind w:left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40B7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440B72">
              <w:rPr>
                <w:rFonts w:ascii="Arial" w:eastAsia="SimSun" w:hAnsi="Arial" w:cs="Arial"/>
                <w:sz w:val="24"/>
                <w:szCs w:val="24"/>
                <w:lang w:eastAsia="zh-CN"/>
              </w:rPr>
              <w:t>kpl</w:t>
            </w:r>
            <w:proofErr w:type="spellEnd"/>
            <w:r w:rsidRPr="00440B72">
              <w:rPr>
                <w:rFonts w:ascii="Arial" w:eastAsia="SimSun" w:hAnsi="Arial" w:cs="Arial"/>
                <w:sz w:val="24"/>
                <w:szCs w:val="24"/>
                <w:lang w:eastAsia="zh-CN"/>
              </w:rPr>
              <w:t>. dokumentacji zgodnie z pkt 15.</w:t>
            </w:r>
          </w:p>
          <w:p w:rsidR="00440B72" w:rsidRPr="00440B72" w:rsidRDefault="00440B72" w:rsidP="00440B72">
            <w:pPr>
              <w:numPr>
                <w:ilvl w:val="2"/>
                <w:numId w:val="20"/>
              </w:num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Wykaz części zapasowych, narzędzi i wyposażenia.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Każda maszyna powinna być wyposażona w:</w:t>
            </w:r>
          </w:p>
          <w:p w:rsidR="00440B72" w:rsidRPr="00440B72" w:rsidRDefault="00440B72" w:rsidP="00440B72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zestaw podręcznych narzędzi do wykonywania podstawowych napraw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siłami operatora maszyny, zgodny z ukompletowaniem producenta;</w:t>
            </w:r>
          </w:p>
          <w:p w:rsidR="00440B72" w:rsidRPr="00440B72" w:rsidRDefault="00440B72" w:rsidP="00440B72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zestaw części zamiennych (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ZCzZ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 – do wykonywania podstawowych napraw przez operatora maszyny – na wyposażeniu maszyny;</w:t>
            </w:r>
          </w:p>
          <w:p w:rsidR="00440B72" w:rsidRPr="00440B72" w:rsidRDefault="00440B72" w:rsidP="00440B72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zestaw obsługowy (ZO) – zabezpieczający wykonanie wymaganych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po okresie gwarancyjnym w ciągu dwóch kolejnych lat – dostarczany oddzielnie dla użytkownika,</w:t>
            </w:r>
          </w:p>
          <w:p w:rsidR="00440B72" w:rsidRPr="00440B72" w:rsidRDefault="00440B72" w:rsidP="00440B72">
            <w:pPr>
              <w:spacing w:after="120" w:line="276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specjalistyczne urządzenia diagnostyczne i oprzyrządowanie, jeśli jest wymagane do przeprowadzenia obsługiwania maszyny.</w:t>
            </w:r>
          </w:p>
          <w:p w:rsidR="00440B72" w:rsidRPr="00440B72" w:rsidRDefault="00440B72" w:rsidP="00440B72">
            <w:pPr>
              <w:numPr>
                <w:ilvl w:val="0"/>
                <w:numId w:val="18"/>
              </w:numPr>
              <w:tabs>
                <w:tab w:val="num" w:pos="360"/>
              </w:tabs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Zasady odbioru. </w:t>
            </w:r>
          </w:p>
          <w:p w:rsidR="00440B72" w:rsidRPr="00440B72" w:rsidRDefault="00440B72" w:rsidP="00440B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660" w:hanging="3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3.1.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 Wszystkie wymagania zawarte w niniejszych WET podlegają nadzorowaniu przez właściwe Rejonowe Przedstawicielstwo Wojskowe (RPW) zgodnie z procedurą P-02 Decyzji nr 126 MON zawierającą szczegółowe zasady realizacji procesu nadzorowania jakości lub GQA.. Zgodność wyrobu z wymaganiami zweryfikowana będzie na podstawie realizacji przedsięwzięć RPW związanych z nadzorowaniem realizacji umowy.</w:t>
            </w:r>
          </w:p>
          <w:p w:rsidR="00440B72" w:rsidRPr="00440B72" w:rsidRDefault="00440B72" w:rsidP="00440B72">
            <w:pPr>
              <w:spacing w:before="60" w:line="276" w:lineRule="auto"/>
              <w:ind w:left="709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hAnsi="Arial" w:cs="Arial"/>
                <w:b/>
                <w:color w:val="auto"/>
                <w:sz w:val="24"/>
                <w:szCs w:val="24"/>
              </w:rPr>
              <w:t>3.2.</w:t>
            </w:r>
            <w:r w:rsidRPr="00440B7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Wykonawcy powinna być znana treść wszystkich dokumentów przywołanych w niniejszych WET oraz zasady nadzorowania przez RPW realizacji umowy. Wykonawca zobowiązany jest spełnić wszelkie wymagania RPW w zakresie zabezpieczenia jego niezbędnych potrzeb wynikających z realizowanych przez niego zadań.</w:t>
            </w:r>
          </w:p>
          <w:p w:rsidR="00440B72" w:rsidRPr="00440B72" w:rsidRDefault="00440B72" w:rsidP="00440B72">
            <w:pPr>
              <w:numPr>
                <w:ilvl w:val="1"/>
                <w:numId w:val="29"/>
              </w:numPr>
              <w:spacing w:before="6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hAnsi="Arial" w:cs="Arial"/>
                <w:color w:val="auto"/>
                <w:sz w:val="24"/>
                <w:szCs w:val="24"/>
              </w:rPr>
              <w:t xml:space="preserve"> Dostarczone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wyroby podlegają odbiorowi ilościowo – jakościowemu realizowanemu przez Komisję składającą się z przedstawiciela Wykonawcy,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Odbiorcy/Użytkownika oraz przedstawiciela RPW. Odbiór komisyjny odbywać się będzie w siedzibie Odbiorcy/Użytkownika. </w:t>
            </w:r>
          </w:p>
          <w:p w:rsidR="00440B72" w:rsidRPr="00440B72" w:rsidRDefault="00440B72" w:rsidP="00440B72">
            <w:pPr>
              <w:numPr>
                <w:ilvl w:val="1"/>
                <w:numId w:val="29"/>
              </w:numPr>
              <w:spacing w:before="6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Odbiorca i Użytkownik przyjmie wyrób na podstawie dokumentacji technicznej.  Sprawdzeniu podlega: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kompletność wyposażenia (z datami produkcji);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dokumentacja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techniczno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- eksploatacyjna;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poziom materiałów eksploatacyjnych;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sprawność poszczególnych zespołów (poprzez uruchomienie), jazda próbna;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działanie wskaźników znajdujących się w panelu sterowania;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sprawność oświetlenia podstawowego i awaryjnego.</w:t>
            </w:r>
          </w:p>
          <w:p w:rsidR="00440B72" w:rsidRPr="00440B72" w:rsidRDefault="00440B72" w:rsidP="00440B72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Odbiorca/Użytkownik przyjmie wyrób na podstawie dokumentacji o której mowa w punkcie 15 niniejszych WET oraz „Protokołu przyjęcia-przekazania” sporządzonego przez Wykonawcę. Sprawdzeniu podlega min.:</w:t>
            </w:r>
          </w:p>
          <w:p w:rsidR="00440B72" w:rsidRPr="00440B72" w:rsidRDefault="00440B72" w:rsidP="00440B72">
            <w:pPr>
              <w:numPr>
                <w:ilvl w:val="0"/>
                <w:numId w:val="47"/>
              </w:numPr>
              <w:spacing w:before="60" w:line="276" w:lineRule="auto"/>
              <w:ind w:left="1418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kompletność wyrobu,</w:t>
            </w:r>
          </w:p>
          <w:p w:rsidR="00440B72" w:rsidRPr="00440B72" w:rsidRDefault="00440B72" w:rsidP="00440B72">
            <w:pPr>
              <w:numPr>
                <w:ilvl w:val="0"/>
                <w:numId w:val="47"/>
              </w:numPr>
              <w:spacing w:before="60" w:line="276" w:lineRule="auto"/>
              <w:ind w:left="1418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kompletność dokumentacji.</w:t>
            </w:r>
          </w:p>
          <w:p w:rsidR="00440B72" w:rsidRPr="00440B72" w:rsidRDefault="00440B72" w:rsidP="00440B72">
            <w:pPr>
              <w:numPr>
                <w:ilvl w:val="1"/>
                <w:numId w:val="29"/>
              </w:numPr>
              <w:spacing w:before="60" w:line="276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Wszelkie koszty związane z przekazaniem wyrobu Odbiorcy/Użytkownikowi ponosi Wykonawca.</w:t>
            </w:r>
          </w:p>
          <w:p w:rsidR="00440B72" w:rsidRPr="00440B72" w:rsidRDefault="00440B72" w:rsidP="00440B72">
            <w:pPr>
              <w:tabs>
                <w:tab w:val="left" w:pos="900"/>
                <w:tab w:val="left" w:pos="1021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440B72" w:rsidRPr="00440B72" w:rsidRDefault="00440B72" w:rsidP="00440B72">
            <w:pPr>
              <w:numPr>
                <w:ilvl w:val="0"/>
                <w:numId w:val="29"/>
              </w:numPr>
              <w:tabs>
                <w:tab w:val="num" w:pos="780"/>
              </w:tabs>
              <w:spacing w:before="120" w:after="120" w:line="276" w:lineRule="auto"/>
              <w:ind w:left="658" w:hanging="658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Gwarancja dostawy i sposób serwisowania.</w:t>
            </w:r>
          </w:p>
          <w:p w:rsidR="00440B72" w:rsidRPr="00440B72" w:rsidRDefault="00440B72" w:rsidP="00440B72">
            <w:pPr>
              <w:numPr>
                <w:ilvl w:val="1"/>
                <w:numId w:val="12"/>
              </w:numPr>
              <w:tabs>
                <w:tab w:val="num" w:pos="426"/>
              </w:tabs>
              <w:spacing w:before="100" w:beforeAutospacing="1" w:after="100" w:afterAutospacing="1" w:line="276" w:lineRule="auto"/>
              <w:ind w:left="539" w:hanging="53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Obowiązki dostawcy (producenta) w zakresie zgodności dostarczonego wyrobu z wymaganiami technicznymi i dokumentacją eksploatacyjną.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line="276" w:lineRule="auto"/>
              <w:ind w:left="426"/>
              <w:jc w:val="both"/>
              <w:rPr>
                <w:rFonts w:ascii="Arial" w:eastAsia="Arial Narrow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 xml:space="preserve">Wykonawca udzieli gwarancji na dostarczone wyroby: </w:t>
            </w:r>
          </w:p>
          <w:p w:rsidR="00440B72" w:rsidRPr="00440B72" w:rsidRDefault="00440B72" w:rsidP="00440B72">
            <w:pPr>
              <w:numPr>
                <w:ilvl w:val="0"/>
                <w:numId w:val="30"/>
              </w:numPr>
              <w:spacing w:line="276" w:lineRule="auto"/>
              <w:ind w:left="709" w:hanging="283"/>
              <w:jc w:val="both"/>
              <w:rPr>
                <w:rFonts w:ascii="Arial" w:eastAsia="Arial Narrow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 xml:space="preserve">na minimum 1000 </w:t>
            </w:r>
            <w:proofErr w:type="spellStart"/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>mth</w:t>
            </w:r>
            <w:proofErr w:type="spellEnd"/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 xml:space="preserve">, ale na okres nie krótszy niż 24 miesiące (jeśli warunek minimum 1000 </w:t>
            </w:r>
            <w:proofErr w:type="spellStart"/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>mth</w:t>
            </w:r>
            <w:proofErr w:type="spellEnd"/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 xml:space="preserve"> zostanie osiągnięty przed upływem 24 miesięcy);</w:t>
            </w:r>
          </w:p>
          <w:p w:rsidR="00440B72" w:rsidRPr="00440B72" w:rsidRDefault="00440B72" w:rsidP="00440B72">
            <w:pPr>
              <w:numPr>
                <w:ilvl w:val="0"/>
                <w:numId w:val="30"/>
              </w:numPr>
              <w:spacing w:line="276" w:lineRule="auto"/>
              <w:ind w:left="709" w:hanging="283"/>
              <w:jc w:val="both"/>
              <w:rPr>
                <w:rFonts w:ascii="Arial" w:eastAsia="Arial Narrow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>gwarancja na powłoki malarskie co najmniej 5 lat;</w:t>
            </w:r>
          </w:p>
          <w:p w:rsidR="00440B72" w:rsidRPr="00440B72" w:rsidRDefault="00440B72" w:rsidP="00440B72">
            <w:pPr>
              <w:numPr>
                <w:ilvl w:val="0"/>
                <w:numId w:val="30"/>
              </w:numPr>
              <w:spacing w:line="276" w:lineRule="auto"/>
              <w:ind w:left="709" w:hanging="283"/>
              <w:jc w:val="both"/>
              <w:rPr>
                <w:rFonts w:ascii="Arial" w:eastAsia="Arial Narrow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>użytkowania akumulatorów na okres minimum 36 miesięcy;</w:t>
            </w:r>
          </w:p>
          <w:p w:rsidR="00440B72" w:rsidRPr="00440B72" w:rsidRDefault="00440B72" w:rsidP="00440B72">
            <w:pPr>
              <w:numPr>
                <w:ilvl w:val="0"/>
                <w:numId w:val="30"/>
              </w:numPr>
              <w:spacing w:line="276" w:lineRule="auto"/>
              <w:ind w:left="709" w:hanging="283"/>
              <w:jc w:val="both"/>
              <w:rPr>
                <w:rFonts w:ascii="Arial" w:eastAsia="Arial Narrow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Arial Narrow" w:hAnsi="Arial" w:cs="Arial"/>
                <w:color w:val="auto"/>
                <w:sz w:val="24"/>
                <w:szCs w:val="24"/>
              </w:rPr>
              <w:t>opony minimum 5 lat.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zobowiązuje się wystawić na przedmiot umowy karty gwarancyjne, których zapisy będą zgodne z postanowieniami WET w zakresie gwarancji.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W przypadku wystąpienia zapisów sprzecznych z postanowieniami WET, zapisy w kartach gwarancyjnych są nieważne. 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Karty gwarancyjne, o których mowa w ust. 3 niniejszego paragrafu powinny być wykonane w formie pisemnej oraz nie mogą zawierać pod rygorem nieważności zapisów takich jak postanowienia niekorzystne dla Zamawiającego w stosunku do zapisów umowy lub przepisów prawa. Nie mogą zawierać również postanowień powodujących jego obciążenie dodatkowymi kosztami związanymi z dostarczanym przedmiotem umowy, a także dodatkowych warunków współpracy z Wykonawcą.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Sporządzający „Protokół reklamacji” po jednym egzemplarzu przekazuje do:</w:t>
            </w:r>
          </w:p>
          <w:p w:rsidR="00440B72" w:rsidRPr="00440B72" w:rsidRDefault="00440B72" w:rsidP="00440B72">
            <w:pPr>
              <w:numPr>
                <w:ilvl w:val="0"/>
                <w:numId w:val="14"/>
              </w:numPr>
              <w:spacing w:line="276" w:lineRule="auto"/>
              <w:ind w:left="426" w:firstLine="0"/>
              <w:contextualSpacing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Wykonawcy,</w:t>
            </w:r>
          </w:p>
          <w:p w:rsidR="00440B72" w:rsidRPr="00440B72" w:rsidRDefault="00440B72" w:rsidP="00440B72">
            <w:pPr>
              <w:numPr>
                <w:ilvl w:val="0"/>
                <w:numId w:val="14"/>
              </w:numPr>
              <w:spacing w:line="276" w:lineRule="auto"/>
              <w:ind w:left="426" w:firstLine="0"/>
              <w:contextualSpacing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Zamawiającego,</w:t>
            </w:r>
          </w:p>
          <w:p w:rsidR="00440B72" w:rsidRPr="00440B72" w:rsidRDefault="00440B72" w:rsidP="00440B72">
            <w:pPr>
              <w:numPr>
                <w:ilvl w:val="0"/>
                <w:numId w:val="14"/>
              </w:numPr>
              <w:spacing w:line="276" w:lineRule="auto"/>
              <w:ind w:left="426" w:firstLine="0"/>
              <w:contextualSpacing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RPW.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W sytuacji stwierdzenia w okresie gwarancji, wad w dostarczanym wyrobie, Wykonawca: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rozpatrzy „Protokół reklamacji” w terminie 7 dni roboczych licząc od daty jego otrzymania, 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naprawi wadliwe wyroby w terminie 30 dni roboczych, licząc od daty rozpatrzenia „Protokołu reklamacyjnego", tj.:</w:t>
            </w:r>
          </w:p>
          <w:p w:rsidR="00440B72" w:rsidRPr="00440B72" w:rsidRDefault="00440B72" w:rsidP="00440B72">
            <w:pPr>
              <w:numPr>
                <w:ilvl w:val="0"/>
                <w:numId w:val="15"/>
              </w:numPr>
              <w:spacing w:line="276" w:lineRule="auto"/>
              <w:ind w:left="709" w:hanging="142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usunie wady w dostarczonych wyrobach w miejscu wskazanym przez Zamawiającego/Użytkownika/Odbiorcę na terenie RP, lub na własny koszt dostarczy je do swojej siedziby, w celu ich usprawnienia. Wykonawca ponosi wszystkie koszty związane z usunięciem niesprawności;</w:t>
            </w:r>
          </w:p>
          <w:p w:rsidR="00440B72" w:rsidRPr="00440B72" w:rsidRDefault="00440B72" w:rsidP="00440B72">
            <w:pPr>
              <w:numPr>
                <w:ilvl w:val="0"/>
                <w:numId w:val="15"/>
              </w:numPr>
              <w:spacing w:line="276" w:lineRule="auto"/>
              <w:ind w:left="709" w:hanging="142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wyroby wolne od wad oraz wyroby z zastosowanym zamiennikiem technologicznym, w przypadku o którym mowa w kolejnej lit. c), dostarczy na własny koszt do miejsca, w którym wady zostały ujawnione tj. na terenie RP,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w terminie określonym w pkt. 5 lit. b);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 celu umożliwienia ciągłej eksploatacji wyrobu, dopuszcza się na czas wykonania naprawy, zastosowanie zamienników technologicznych. Zastosowanie zamienników technologicznych zawiesza bieg terminu, o którym mowa w lit. b) na naprawę wadliwych wyrobów, począwszy od daty przekazania wyrobu z zastosowanym zamiennikiem technologicznym Odbiorcy/Użytkownikowi. W takim przypadku zapisy pkt. 5 lit. b) nie mają zastosowania,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 przypadku zastosowania zamienników technologicznych, o których mowa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w lit. c) Wykonawca zobowiązany jest do naprawy wadliwych wyrobów bez zbędnej zwłoki jednak nie później niż w terminie 6 miesięcy od daty przekazania wyrobu z zastosowanym zamiennikiem technologicznym,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przedłuży termin gwarancji o czas, w którym wskutek wad wyrobu, Odbiorca/Użytkownik nie mógł z niego korzystać;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wymieni wadliwe urządzenie na nowe wolne od wad w terminie 90 dni roboczych, jeżeli, naprawa tego samego zespołu/podzespołu lub w uzasadnionych przypadkach części okazała się trzykrotnie nieskuteczna, licząc od dnia rozpatrzenia ostatniego Protokołu Reklamacji,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dokona stosownych zapisów w karcie gwarancyjnej, dotyczących zakresu wykonanych napraw oraz zmiany okresu udzielonej gwarancji;</w:t>
            </w:r>
          </w:p>
          <w:p w:rsidR="00440B72" w:rsidRPr="00440B72" w:rsidRDefault="00440B72" w:rsidP="00440B72">
            <w:pPr>
              <w:numPr>
                <w:ilvl w:val="0"/>
                <w:numId w:val="13"/>
              </w:numPr>
              <w:spacing w:line="276" w:lineRule="auto"/>
              <w:ind w:left="709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ponosi odpowiedzialność z tytułu przypadkowej utraty lub uszkodzenia wyrobu w czasie od przyjęcia go do naprawy/wymiany i do czasu przekazania sprawnego wyrobu Odbiorcy/Użytkownikowi w miejscu ujawnienia wady,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zobowiązany jest na własny koszt do niezwłocznego naprawienia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w pełnym zakresie szkód materialnych lub zwrotu uzasadnionych wydatków, które powstały wskutek istnienia ukrytych wad fizycznych w dostarczonych wyrobach. Odpowiedzialność z tego tytułu biegnie od dnia przekazania wyrobów Odbiorcy/Użytkownikowi na warunkach określonych w Kodeksie cywilnym.  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Proces przyjęcia nowego egzemplarza musi być zgodny z wszystkimi procedurami opisanymi w umowie.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powiadomi Zamawiającego o nieprawidłowościach w eksploatacji dostarczonych wyrobów oraz utrudnieniach przy ich usprawnieniu, jeśli takie wystąpią ze strony Odbiorcy/Użytkownika.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Wykonawca w terminie 2 miesięcy po zakończeniu okresu gwarancyjnego, przedstawi Zamawiającemu pisemną informację o wszystkich wadach, ich przyczynach i sposobie załatwienia.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zapewni bezpłatny serwis w okresie gwarancyjnym bez limitu kilometrów lub motogodzin. Bezpłatne serwisowanie, o którym mowa powyżej, obejmuje koszty wszystkich zużytych materiałów, części oraz koszty robocizny poniesione w czasie realizacji planowanych przeglądów technicznych a także napraw, które nie wynikły z winy użytkownika, tj. eksploatacji pojazdów niezgodnie z zasadami określonymi w instrukcji obsługiwania lub użytkowania.</w:t>
            </w:r>
            <w:r w:rsidRPr="00440B72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musi zapewnić naprawę gwarancyjną pojazdów w miejscu uzgodnionym z użytkownikiem w ASO na terenie krajów UE w terminie do 14 dni roboczych od przyjęcia zgłoszenia pod warunkiem, że czas rozpatrzenia reklamacji przez wykonawcę nie przekroczy 3 dni roboczych. Poza terenem krajów UE naprawa będzie realizowana w terminie do 21 dni roboczych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od przyjęcia  zgłoszenia, pod warunkiem, że czas rozpatrzenia reklamacji przez wykonawcę nie przekroczy 3 dni roboczych. Wykonawca może odmówić realizacji naprawy gwarancyjnej na terenie państwa, do którego Ministerstwo Spraw Zagranicznych uznaje wyjazdy za niebezpieczne. W takim przypadku naprawa gwarancyjna może być realizowana przez wskazany serwis, na terenie kraju, w którym pojazd jest użytkowany lub poprzez wyszkolonego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i uprawnionego przez producenta wytypowanego przedstawiciela (przedstawicieli) resortu obrony narodowej. Koszty związane z jego (ich) przygotowaniem oraz wyposażenia (narzędzia, części zamienne  i materiały eksploatacyjne) pokrywa wykonawca.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zapewni odpłatny serwis pogwarancyjny w każdym miejscu użytkowania sprzętu na terytorium Rzeczypospolitej Polskiej przez okres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co najmniej 10 lat, licząc od daty upływu terminu gwarancji, w tym dostawy elementów wchodzących w skład wyrobu w przypadku konieczności ich wymiany lub uzupełnienia — na podstawie odrębnej umowy zawartej zgodnie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z obowiązującymi przepisami.</w:t>
            </w:r>
          </w:p>
          <w:p w:rsidR="00440B72" w:rsidRPr="00440B72" w:rsidRDefault="00440B72" w:rsidP="00440B72">
            <w:pPr>
              <w:numPr>
                <w:ilvl w:val="0"/>
                <w:numId w:val="16"/>
              </w:numPr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zapewni dostęp do części zamiennych przez okres co najmniej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15 lat, licząc od daty upływu terminu gwarancji.</w:t>
            </w:r>
            <w:r w:rsidRPr="00440B7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440B72" w:rsidRPr="00440B72" w:rsidRDefault="00440B72" w:rsidP="00440B72">
            <w:pPr>
              <w:numPr>
                <w:ilvl w:val="0"/>
                <w:numId w:val="12"/>
              </w:numPr>
              <w:spacing w:before="240" w:after="24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Wielkość (liczba) i miejsce dostawy.</w:t>
            </w:r>
          </w:p>
          <w:p w:rsidR="00440B72" w:rsidRPr="00440B72" w:rsidRDefault="00440B72" w:rsidP="00440B72">
            <w:pPr>
              <w:spacing w:after="240"/>
              <w:ind w:left="426" w:hanging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5.2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Miejsce dostawy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: </w:t>
            </w:r>
          </w:p>
          <w:p w:rsidR="00440B72" w:rsidRPr="00440B72" w:rsidRDefault="00440B72" w:rsidP="00440B72">
            <w:pPr>
              <w:ind w:left="709" w:hanging="28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SM Komorowo Skład Komorowo, ul. Kościelna b/n, 07-310 Ostrów Mazowiecka.</w:t>
            </w:r>
          </w:p>
          <w:p w:rsidR="00440B72" w:rsidRPr="00440B72" w:rsidRDefault="00440B72" w:rsidP="00440B72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ind w:left="708" w:firstLine="708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440B72" w:rsidRPr="00440B72" w:rsidRDefault="00440B72" w:rsidP="004B74FB">
            <w:pPr>
              <w:numPr>
                <w:ilvl w:val="0"/>
                <w:numId w:val="49"/>
              </w:numPr>
              <w:spacing w:after="12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Wymagania dotyczące szkolenia.</w:t>
            </w:r>
          </w:p>
          <w:p w:rsidR="00440B72" w:rsidRPr="00440B72" w:rsidRDefault="00440B72" w:rsidP="00440B72">
            <w:pPr>
              <w:numPr>
                <w:ilvl w:val="1"/>
                <w:numId w:val="50"/>
              </w:num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w ramach realizacji umowy przeprowadzi szkolenie w języku polskim ( minimum dwa dni robocze) teoretyczne i praktyczne dla nw. personelu:</w:t>
            </w:r>
          </w:p>
          <w:p w:rsidR="00440B72" w:rsidRPr="00440B72" w:rsidRDefault="00440B72" w:rsidP="00440B72">
            <w:pPr>
              <w:numPr>
                <w:ilvl w:val="0"/>
                <w:numId w:val="48"/>
              </w:numPr>
              <w:spacing w:before="60" w:after="60" w:line="276" w:lineRule="auto"/>
              <w:ind w:left="1276" w:hanging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do 2-ch operatorów na każdy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kpl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spycharko - ładowarki;</w:t>
            </w:r>
          </w:p>
          <w:p w:rsidR="00440B72" w:rsidRPr="00440B72" w:rsidRDefault="00440B72" w:rsidP="00440B72">
            <w:pPr>
              <w:numPr>
                <w:ilvl w:val="0"/>
                <w:numId w:val="48"/>
              </w:numPr>
              <w:spacing w:before="60" w:after="60" w:line="276" w:lineRule="auto"/>
              <w:ind w:left="1276" w:hanging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2 instruktorów z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CSWIiCH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48"/>
              </w:numPr>
              <w:spacing w:before="60" w:after="60" w:line="276" w:lineRule="auto"/>
              <w:ind w:left="1276" w:hanging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technicznego kompanii (plutonów) remontowych - do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>12 osób.</w:t>
            </w:r>
          </w:p>
          <w:p w:rsidR="00440B72" w:rsidRPr="00440B72" w:rsidRDefault="00440B72" w:rsidP="00440B72">
            <w:pPr>
              <w:spacing w:before="60" w:after="60" w:line="276" w:lineRule="auto"/>
              <w:ind w:left="1276" w:hanging="567"/>
              <w:jc w:val="both"/>
              <w:rPr>
                <w:rFonts w:ascii="Arial" w:eastAsia="Times New Roman" w:hAnsi="Arial" w:cs="Arial"/>
                <w:strike/>
                <w:sz w:val="24"/>
                <w:szCs w:val="24"/>
                <w:u w:val="single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d) obsługowo-naprawczego Rejonowych Warsztatów Technicznych/ Warsztatów Technicznych (RWT/WT): do 6 osób.</w:t>
            </w:r>
          </w:p>
          <w:p w:rsidR="00440B72" w:rsidRPr="00440B72" w:rsidRDefault="00440B72" w:rsidP="00440B72">
            <w:pPr>
              <w:spacing w:before="60" w:after="60"/>
              <w:ind w:left="1276" w:hanging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6.2.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Miejsce, program szkolenia i termin szkolenia Wykonawca uzgodni z IE 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br/>
              <w:t>w terminie nie krótszym niż trzy tygodnie przed planowanym szkoleniem.</w:t>
            </w:r>
          </w:p>
          <w:p w:rsidR="00440B72" w:rsidRPr="00440B72" w:rsidRDefault="00440B72" w:rsidP="00440B72">
            <w:pPr>
              <w:spacing w:before="60" w:after="60"/>
              <w:ind w:left="1276" w:hanging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6.3.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 Szkolenie musi być przeprowadzone przed dostawą wyrobów w danym roku kalendarzowym i udokumentowane protokołem, którego wzór jest określony w załączniku nr 1 do niniejszych WET.</w:t>
            </w:r>
          </w:p>
          <w:p w:rsidR="00440B72" w:rsidRPr="00440B72" w:rsidRDefault="00440B72" w:rsidP="00440B72">
            <w:pPr>
              <w:spacing w:line="276" w:lineRule="auto"/>
              <w:ind w:left="1276" w:hanging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6.4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>. Program szkolenia, który powinien obejmować szczegółowe zagadnienia szkoleniowe oraz ilość godzin przeznaczonych na każde zagadnienie. Program powinien zawierać m.in. zagadnienia związane z budową, eksploatacją, obsługą i przechowywaniem wyrobu oraz wykonywanie podstawowych napraw.</w:t>
            </w:r>
          </w:p>
          <w:p w:rsidR="00440B72" w:rsidRPr="00440B72" w:rsidRDefault="00440B72" w:rsidP="00440B72">
            <w:pPr>
              <w:spacing w:line="276" w:lineRule="auto"/>
              <w:ind w:left="1276" w:hanging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6.5.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 Wszystkie materiały szkoleniowe, pomocnicze, eksploatacyjne  na nośniku danych (np. płyta CD, CD-DVD, pamięć </w:t>
            </w:r>
            <w:proofErr w:type="spellStart"/>
            <w:r w:rsidRPr="00440B72">
              <w:rPr>
                <w:rFonts w:ascii="Arial" w:eastAsia="Times New Roman" w:hAnsi="Arial" w:cs="Arial"/>
                <w:sz w:val="24"/>
                <w:szCs w:val="24"/>
              </w:rPr>
              <w:t>flash</w:t>
            </w:r>
            <w:proofErr w:type="spellEnd"/>
            <w:r w:rsidRPr="00440B72">
              <w:rPr>
                <w:rFonts w:ascii="Arial" w:eastAsia="Times New Roman" w:hAnsi="Arial" w:cs="Arial"/>
                <w:sz w:val="24"/>
                <w:szCs w:val="24"/>
              </w:rPr>
              <w:t>) zapewnia Wykonawca dla każdego ze szkolonych oraz jeden egzemplarz dla IE oraz Zamawiającego</w:t>
            </w:r>
          </w:p>
          <w:p w:rsidR="00440B72" w:rsidRPr="00440B72" w:rsidRDefault="00440B72" w:rsidP="00440B72">
            <w:pPr>
              <w:widowControl w:val="0"/>
              <w:spacing w:line="276" w:lineRule="auto"/>
              <w:ind w:left="1135" w:right="23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440B72">
              <w:rPr>
                <w:rFonts w:ascii="Arial" w:eastAsia="Times New Roman" w:hAnsi="Arial" w:cs="Arial"/>
                <w:sz w:val="18"/>
                <w:szCs w:val="24"/>
              </w:rPr>
              <w:tab/>
            </w:r>
            <w:r w:rsidRPr="00440B72">
              <w:rPr>
                <w:rFonts w:ascii="Arial" w:eastAsia="Times New Roman" w:hAnsi="Arial" w:cs="Arial"/>
                <w:sz w:val="18"/>
                <w:szCs w:val="24"/>
              </w:rPr>
              <w:tab/>
            </w:r>
            <w:r w:rsidRPr="00440B72">
              <w:rPr>
                <w:rFonts w:ascii="Arial" w:eastAsia="Times New Roman" w:hAnsi="Arial" w:cs="Arial"/>
                <w:sz w:val="18"/>
                <w:szCs w:val="24"/>
              </w:rPr>
              <w:tab/>
            </w: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39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Wymagania co do oceny zgodności wyrobu.</w:t>
            </w:r>
          </w:p>
          <w:p w:rsidR="00440B72" w:rsidRPr="00440B72" w:rsidRDefault="00440B72" w:rsidP="00440B72">
            <w:pPr>
              <w:spacing w:line="276" w:lineRule="auto"/>
              <w:ind w:firstLine="539"/>
              <w:jc w:val="both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440B72" w:rsidRPr="00440B72" w:rsidRDefault="00440B72" w:rsidP="00440B72">
            <w:pPr>
              <w:numPr>
                <w:ilvl w:val="1"/>
                <w:numId w:val="19"/>
              </w:numPr>
              <w:tabs>
                <w:tab w:val="num" w:pos="1276"/>
              </w:tabs>
              <w:spacing w:line="276" w:lineRule="auto"/>
              <w:ind w:left="1276" w:hanging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Tryb oceny zgodności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OiB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– I. </w:t>
            </w:r>
          </w:p>
          <w:p w:rsidR="00440B72" w:rsidRPr="00440B72" w:rsidRDefault="00440B72" w:rsidP="00440B72">
            <w:pPr>
              <w:tabs>
                <w:tab w:val="num" w:pos="1276"/>
              </w:tabs>
              <w:spacing w:line="276" w:lineRule="auto"/>
              <w:ind w:left="1276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Podstawa: §13.1 Rozporządzenia Ministra ON z dnia 11 stycznia 2013r.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w sprawie szczegółowego wykazu wyrobów podlegających ocenie zgodności oraz sposobu i trybu przeprowadzenia oceny zgodności wyrobów przeznaczonych na potrzeby obronności państwa</w:t>
            </w:r>
            <w:r w:rsidRPr="00440B7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. </w:t>
            </w:r>
          </w:p>
          <w:p w:rsidR="00440B72" w:rsidRPr="00440B72" w:rsidRDefault="00440B72" w:rsidP="00440B72">
            <w:pPr>
              <w:tabs>
                <w:tab w:val="num" w:pos="1276"/>
              </w:tabs>
              <w:spacing w:line="276" w:lineRule="auto"/>
              <w:ind w:left="1276" w:hanging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7.2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Wykonawca zobowiązany jest dostarczyć na własny koszt deklarację zgodności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OiB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wystawioną w trybie I. </w:t>
            </w:r>
          </w:p>
          <w:p w:rsidR="00440B72" w:rsidRPr="00440B72" w:rsidRDefault="00440B72" w:rsidP="00440B72">
            <w:pPr>
              <w:spacing w:line="276" w:lineRule="auto"/>
              <w:ind w:left="567" w:hanging="425"/>
              <w:jc w:val="both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39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Wymagania dotyczące certyfikacji. </w:t>
            </w:r>
          </w:p>
          <w:p w:rsidR="00440B72" w:rsidRPr="00440B72" w:rsidRDefault="00440B72" w:rsidP="00440B72">
            <w:pPr>
              <w:spacing w:before="120" w:line="276" w:lineRule="auto"/>
              <w:ind w:left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Nie dotyczy.</w:t>
            </w:r>
          </w:p>
          <w:p w:rsidR="00440B72" w:rsidRPr="00440B72" w:rsidRDefault="00440B72" w:rsidP="00440B72">
            <w:pPr>
              <w:spacing w:line="276" w:lineRule="auto"/>
              <w:rPr>
                <w:rFonts w:ascii="Arial" w:eastAsia="Times New Roman" w:hAnsi="Arial" w:cs="Arial"/>
                <w:sz w:val="8"/>
                <w:szCs w:val="8"/>
                <w:highlight w:val="yellow"/>
              </w:rPr>
            </w:pP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39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Wymagania w zakresie jakości wyrobu. </w:t>
            </w:r>
          </w:p>
          <w:p w:rsidR="00440B72" w:rsidRPr="00440B72" w:rsidRDefault="00440B72" w:rsidP="00440B72">
            <w:pPr>
              <w:spacing w:line="276" w:lineRule="auto"/>
              <w:ind w:left="426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 Zgodnie z „Klauzulą jakościową”.</w:t>
            </w:r>
          </w:p>
          <w:p w:rsidR="00440B72" w:rsidRPr="00440B72" w:rsidRDefault="00440B72" w:rsidP="00440B72">
            <w:pPr>
              <w:spacing w:line="276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40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Wymagania dotyczące kodyfikacji. </w:t>
            </w:r>
          </w:p>
          <w:p w:rsidR="00440B72" w:rsidRPr="00440B72" w:rsidRDefault="00440B72" w:rsidP="00440B72">
            <w:pPr>
              <w:spacing w:line="276" w:lineRule="auto"/>
              <w:ind w:left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Zgodnie z §  16 Decyzji nr 115/MON Ministra Obrony Narodowej z dnia 18 września 2024 r. w sprawie Systemu Kodyfikacji Wyrobów Obronnych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40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Wymagania w zakresie dozoru technicznego. </w:t>
            </w:r>
          </w:p>
          <w:p w:rsidR="00440B72" w:rsidRPr="00440B72" w:rsidRDefault="00440B72" w:rsidP="00440B72">
            <w:pPr>
              <w:spacing w:before="120" w:line="276" w:lineRule="auto"/>
              <w:ind w:left="539" w:firstLine="2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Nie </w:t>
            </w:r>
            <w:proofErr w:type="spellStart"/>
            <w:r w:rsidRPr="00440B72">
              <w:rPr>
                <w:rFonts w:ascii="Arial" w:eastAsia="Times New Roman" w:hAnsi="Arial" w:cs="Arial"/>
                <w:sz w:val="24"/>
                <w:szCs w:val="24"/>
              </w:rPr>
              <w:t>dotyzy</w:t>
            </w:r>
            <w:proofErr w:type="spellEnd"/>
            <w:r w:rsidRPr="00440B7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40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Wymagania w zakresie metrologii.</w:t>
            </w:r>
          </w:p>
          <w:p w:rsidR="00440B72" w:rsidRPr="00440B72" w:rsidRDefault="00440B72" w:rsidP="00440B72">
            <w:pPr>
              <w:spacing w:before="120" w:line="276" w:lineRule="auto"/>
              <w:ind w:left="539" w:firstLine="2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t>Nie dotyczy.</w:t>
            </w:r>
          </w:p>
          <w:p w:rsidR="00440B72" w:rsidRPr="00440B72" w:rsidRDefault="00440B72" w:rsidP="00440B72">
            <w:pPr>
              <w:spacing w:line="276" w:lineRule="auto"/>
              <w:ind w:left="540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40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Wymagania dotyczące ochrony środowiska. </w:t>
            </w:r>
          </w:p>
          <w:p w:rsidR="00440B72" w:rsidRPr="00440B72" w:rsidRDefault="00440B72" w:rsidP="00440B72">
            <w:pPr>
              <w:spacing w:before="120" w:line="276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t>Spycharko-ładowarka powinna spełniać wymagania w zakresie:</w:t>
            </w:r>
          </w:p>
          <w:p w:rsidR="00440B72" w:rsidRPr="00440B72" w:rsidRDefault="00440B72" w:rsidP="00440B72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t>dopuszczalnych wartości gwarantowanego poziomu mocy akustycznej określone w Rozporządzeniu Ministra Gospodarki z dnia 21 grudnia 2005 r. w sprawie zasadniczych wymagań dla urządzeń używanych na zewnątrz pomieszczeń w zakresie emisji hałasu do środowiska;</w:t>
            </w:r>
          </w:p>
          <w:p w:rsidR="00440B72" w:rsidRPr="00440B72" w:rsidRDefault="00440B72" w:rsidP="00440B72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ograniczenia emisji zanieczyszczeń gazowych o cząsteczek stałych określone w Rozporządzeniu Ministra Gospodarki z dn. 30 kwietnia 2014r. w sprawie szczegółowych wymagań dla silników spalinowych w zakresie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ograniczenia emisji zanieczyszczeń gazowych i cząstek stałych przez te silniki;</w:t>
            </w:r>
          </w:p>
          <w:p w:rsidR="00440B72" w:rsidRPr="00440B72" w:rsidRDefault="00440B72" w:rsidP="00440B72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40B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normy</w:t>
            </w:r>
            <w:proofErr w:type="spellEnd"/>
            <w:r w:rsidRPr="00440B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B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emisji</w:t>
            </w:r>
            <w:proofErr w:type="spellEnd"/>
            <w:r w:rsidRPr="00440B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spalin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Euro/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Stage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min. IV, U.S. EPA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Tier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Final</w:t>
            </w:r>
            <w:proofErr w:type="spellEnd"/>
          </w:p>
          <w:p w:rsidR="00440B72" w:rsidRPr="00440B72" w:rsidRDefault="00440B72" w:rsidP="00440B72">
            <w:pPr>
              <w:spacing w:line="276" w:lineRule="auto"/>
              <w:ind w:left="993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left="540" w:hanging="54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Termin dostawy.</w:t>
            </w:r>
          </w:p>
          <w:p w:rsidR="00440B72" w:rsidRPr="00440B72" w:rsidRDefault="00440B72" w:rsidP="00440B72">
            <w:pPr>
              <w:spacing w:line="276" w:lineRule="auto"/>
              <w:ind w:left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W terminie zadeklarowanym przez Wykonawcę, jednak nie później niż do dnia: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- 28.11.2025 r. </w:t>
            </w:r>
          </w:p>
          <w:p w:rsidR="00440B72" w:rsidRPr="00440B72" w:rsidRDefault="00440B72" w:rsidP="00440B72">
            <w:pPr>
              <w:numPr>
                <w:ilvl w:val="0"/>
                <w:numId w:val="19"/>
              </w:numPr>
              <w:spacing w:line="276" w:lineRule="auto"/>
              <w:ind w:hanging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Inne wymagania. </w:t>
            </w:r>
          </w:p>
          <w:p w:rsidR="00440B72" w:rsidRPr="00440B72" w:rsidRDefault="00440B72" w:rsidP="00440B72">
            <w:pPr>
              <w:spacing w:after="120" w:line="276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15.1.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Zgodnie z zapisami </w:t>
            </w:r>
            <w:bookmarkStart w:id="2" w:name="_Hlk165896976"/>
            <w:bookmarkStart w:id="3" w:name="_Hlk165897403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Decyzji Nr 155/MON </w:t>
            </w:r>
            <w:bookmarkEnd w:id="2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z dn. 07.11.2012 r.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(Dz. Urz. MON.2022.181 z dnia 08.11.2022r.)</w:t>
            </w:r>
            <w:r w:rsidRPr="00440B7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bookmarkEnd w:id="3"/>
            <w:r w:rsidRPr="00440B72">
              <w:rPr>
                <w:rFonts w:ascii="Arial" w:eastAsia="Times New Roman" w:hAnsi="Arial" w:cs="Arial"/>
                <w:b/>
                <w:sz w:val="24"/>
                <w:szCs w:val="24"/>
              </w:rPr>
              <w:t>do wyrobu powinny być dołączone nw. elementy Dokumentacji Eksploatacyjnej:</w:t>
            </w:r>
          </w:p>
          <w:p w:rsidR="00440B72" w:rsidRPr="00440B72" w:rsidRDefault="00440B72" w:rsidP="00440B72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a)</w:t>
            </w:r>
            <w:r w:rsidRPr="00440B72">
              <w:rPr>
                <w:rFonts w:ascii="Arial" w:eastAsia="Times New Roman" w:hAnsi="Arial" w:cs="Arial"/>
                <w:color w:val="auto"/>
                <w:sz w:val="20"/>
                <w:szCs w:val="24"/>
              </w:rPr>
              <w:t xml:space="preserve"> 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Dokumentację Użytkowania (Instrukcja Użytkowania, Książka Urządzenia);</w:t>
            </w:r>
          </w:p>
          <w:p w:rsidR="00440B72" w:rsidRPr="00440B72" w:rsidRDefault="00440B72" w:rsidP="00440B72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b) Dokumentacja zabezpieczenia (Instrukcja Obsługiwania Technicznego, Instrukcja Naprawy, Katalog Części Zamiennych);</w:t>
            </w:r>
          </w:p>
          <w:p w:rsidR="00440B72" w:rsidRPr="00440B72" w:rsidRDefault="00440B72" w:rsidP="00440B72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numPr>
                <w:ilvl w:val="0"/>
                <w:numId w:val="2"/>
              </w:numPr>
              <w:spacing w:line="276" w:lineRule="auto"/>
              <w:ind w:hanging="1437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Dokumentacja użytkowania</w:t>
            </w: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Instrukcja Użytkowania (IU)</w:t>
            </w:r>
          </w:p>
          <w:p w:rsidR="00440B72" w:rsidRPr="00440B72" w:rsidRDefault="00440B72" w:rsidP="00440B72">
            <w:pPr>
              <w:spacing w:before="120" w:line="276" w:lineRule="auto"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Instrukcja Użytkowania powinna dotyczyć konkretnej konfiguracji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pozyskiwanego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i być adresowana do odpowiednio wyszkolonego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personelu użytkującego i utrzymującego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. Zawartość tej instrukcji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powinna być zakresem szczegółowości dostosowana do kwalifikacji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personelu oraz kompetencji, jakie w procesie eksploatacji personel ten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powinien posiadać. Instrukcja Użytkowania powinna składać się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>z rozdziałów:</w:t>
            </w:r>
          </w:p>
          <w:p w:rsidR="00440B72" w:rsidRPr="00440B72" w:rsidRDefault="00440B72" w:rsidP="00440B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284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„Opis Techniczny”, zawierający m.in: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firstLine="284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przeznaczenie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firstLine="284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dane techniczne;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opis możliwości taktyczno-technicznych;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opis budowy i zasady działania całego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oraz jego elementów funkcjonalnych i systemów składowych;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opis użytego oprogramowania w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, możliwość jego integracji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z innym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oraz sposób weryfikacji poprawnego funkcjonowania zintegrowanego systemu;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opis charakterystycznych niesprawności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, w tym podstawowych błędów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>i usterek technicznych w oprogramowaniu, jakie mogą wystąpić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>w procesie użytkowania;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opis możliwości pracy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w otoczeniu systemowym (zewnętrznym);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klauzule niejawności całego wyrobu i jego podzespołów,</w:t>
            </w:r>
          </w:p>
          <w:p w:rsidR="00440B72" w:rsidRPr="00440B72" w:rsidRDefault="00440B72" w:rsidP="00440B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wykaz przedmiotów i substancji niebezpiecznych dla człowieka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 xml:space="preserve">i środowiska, wymagających szczególnych sposobów utylizacji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>lub wymagających oddzielnego ewidencjonowania.</w:t>
            </w:r>
          </w:p>
          <w:p w:rsidR="00440B72" w:rsidRPr="00440B72" w:rsidRDefault="00440B72" w:rsidP="00440B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„Użytkowanie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”, zawierający m.in.: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before="120"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zasady BHP w procesie eksploatacji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skład załogi/obsługi z wyszczególnieniem kwalifikacji, jakie poszczególni funkcyjni powinni posiadać do prawidłowego użytkowania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, w tym zakres kompetencji i uprawnień do wprowadzania oprogramowania (OPR) do różnych elementów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(przez użytkownika lub inne osoby funkcyjne) oraz wymagane kompetencje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lastRenderedPageBreak/>
              <w:t>osób (instytucji), które będą odpowiadać za wykonanie, weryfikację oraz naprawę określonych poziomów integracji;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rodzaje i częstotliwość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oraz zakres prac przewidzianych do realizacji z wyszczególnieniem organów, które je powinny realizować;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szczegółowe zasady postępowania podczas przygotowania do pracy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, użycia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, kontroli poprawności funkcjonowania z uwzględnieniem procedur awaryjnych;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szczegółowe zasady postępowania podczas przygotowania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do transportu lądowego, morskiego i powietrznego, przechowania, itp.,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sposób przygotowania wyrobu do funkcjonowania w różnych warunkach środowiskowych;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zasady eksploatacji oprogramowania występującego w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przewodnik technologiczny </w:t>
            </w:r>
            <w:proofErr w:type="spellStart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 technicznych i napraw realizowanych przez etatową obsługę/załogę;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normatyw zużycia materiałów w procesie użytkowania;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wykaz części zamiennych oraz zapasowych materiałów eksploatacyjnych będących w ukompletowaniu wyrobu;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wykaz wyposażenia podlegającego ewentualnie legalizacji metrologicznej;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opis użytkowania w warunkach szczególnych (np. teren skażony, strefa oddziaływania pól radiacyjnych, zakłóceń, itp.);</w:t>
            </w:r>
          </w:p>
          <w:p w:rsidR="00440B72" w:rsidRPr="00440B72" w:rsidRDefault="00440B72" w:rsidP="00440B72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 xml:space="preserve">strefy (miejsca) ograniczonego dostępu, wynikającego 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>z bezpieczeństwa, ochrony informacji, uprawnień do napraw, strojeń, itp. oraz opis sposobu ich zabezpieczenia.</w:t>
            </w:r>
          </w:p>
          <w:p w:rsidR="00440B72" w:rsidRPr="00440B72" w:rsidRDefault="00440B72" w:rsidP="00440B72">
            <w:pPr>
              <w:spacing w:line="276" w:lineRule="auto"/>
              <w:ind w:left="284"/>
              <w:jc w:val="both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t>W przypadku dużej objętości rozdziałów opisanych w ppkt.1) i 2) dopuszcza się</w:t>
            </w:r>
            <w:r w:rsidRPr="00440B72">
              <w:rPr>
                <w:rFonts w:ascii="Arial" w:eastAsia="Batang" w:hAnsi="Arial" w:cs="Arial"/>
                <w:color w:val="auto"/>
                <w:sz w:val="24"/>
                <w:szCs w:val="24"/>
              </w:rPr>
              <w:br/>
              <w:t>ich edycję w postaci dwóch oddzielnych instrukcji.</w:t>
            </w: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Książka urządzenia (KU)</w:t>
            </w:r>
          </w:p>
          <w:p w:rsidR="00440B72" w:rsidRPr="00440B72" w:rsidRDefault="00440B72" w:rsidP="00440B72">
            <w:pPr>
              <w:spacing w:before="12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Książka urządzenia stanowi zbiór wykazów i formularzy, zawierających niezbędne informacje dotyczące identyfikacji wyrobu, jego ukompletowania, rejestrowania czasu pracy, rejestrowania wybranych zabiegów technicznych.</w:t>
            </w: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Książka urządzenia powinna składać się z następujących elementów:</w:t>
            </w:r>
          </w:p>
          <w:p w:rsidR="00440B72" w:rsidRPr="00440B72" w:rsidRDefault="00440B72" w:rsidP="00440B72">
            <w:pPr>
              <w:numPr>
                <w:ilvl w:val="0"/>
                <w:numId w:val="11"/>
              </w:numPr>
              <w:spacing w:line="276" w:lineRule="auto"/>
              <w:ind w:left="567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wykazu ukompletowania wyrobu, zawierającego numery i cechy istotnych zespołów i elementów;</w:t>
            </w:r>
          </w:p>
          <w:p w:rsidR="00440B72" w:rsidRPr="00440B72" w:rsidRDefault="00440B72" w:rsidP="00440B72">
            <w:pPr>
              <w:numPr>
                <w:ilvl w:val="0"/>
                <w:numId w:val="11"/>
              </w:numPr>
              <w:spacing w:line="276" w:lineRule="auto"/>
              <w:ind w:left="567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książki (formularzy) do rejestrowania czasu pracy oraz przeprowadzonych napraw/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11"/>
              </w:numPr>
              <w:spacing w:line="276" w:lineRule="auto"/>
              <w:ind w:left="567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formularza do zapisywania zmian w konfiguracji;</w:t>
            </w:r>
          </w:p>
          <w:p w:rsidR="00440B72" w:rsidRPr="00440B72" w:rsidRDefault="00440B72" w:rsidP="00440B72">
            <w:pPr>
              <w:numPr>
                <w:ilvl w:val="0"/>
                <w:numId w:val="11"/>
              </w:numPr>
              <w:spacing w:line="276" w:lineRule="auto"/>
              <w:ind w:left="567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książki (karty) gwarancyjnej z możliwością rejestracji napraw gwarancyjnych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i reklamacyjnych;</w:t>
            </w:r>
          </w:p>
          <w:p w:rsidR="00440B72" w:rsidRPr="00440B72" w:rsidRDefault="00440B72" w:rsidP="00440B72">
            <w:pPr>
              <w:numPr>
                <w:ilvl w:val="0"/>
                <w:numId w:val="11"/>
              </w:numPr>
              <w:spacing w:line="276" w:lineRule="auto"/>
              <w:ind w:left="567" w:hanging="425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wykazu urządzeń podlegających systemowi zabezpieczenia metrologicznego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z możliwością ewidencjonowania przeprowadzonych sprawdzeń; </w:t>
            </w:r>
          </w:p>
          <w:p w:rsidR="00440B72" w:rsidRPr="00440B72" w:rsidRDefault="00440B72" w:rsidP="00440B72">
            <w:pPr>
              <w:numPr>
                <w:ilvl w:val="0"/>
                <w:numId w:val="11"/>
              </w:numPr>
              <w:spacing w:line="276" w:lineRule="auto"/>
              <w:ind w:left="567" w:hanging="425"/>
              <w:contextualSpacing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wykazu miejsc (stref), do których jest ograniczony dostęp oraz sposób ich zabezpieczania (plombowania). </w:t>
            </w:r>
          </w:p>
          <w:p w:rsidR="00440B72" w:rsidRPr="00440B72" w:rsidRDefault="00440B72" w:rsidP="00440B72">
            <w:pPr>
              <w:numPr>
                <w:ilvl w:val="0"/>
                <w:numId w:val="2"/>
              </w:numPr>
              <w:spacing w:line="276" w:lineRule="auto"/>
              <w:ind w:hanging="1437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Dokumentacja zabezpieczenia</w:t>
            </w:r>
          </w:p>
          <w:p w:rsidR="00440B72" w:rsidRPr="00440B72" w:rsidRDefault="00440B72" w:rsidP="00440B72">
            <w:pPr>
              <w:spacing w:before="12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Instrukcja Obsługiwania Technicznego (IOT)</w:t>
            </w:r>
          </w:p>
          <w:p w:rsidR="00440B72" w:rsidRPr="00440B72" w:rsidRDefault="00440B72" w:rsidP="00440B72">
            <w:pPr>
              <w:spacing w:before="6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Instrukcja Obsługiwania Technicznego stanowi podstawę do utrzymania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w stanie technicznym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zgodnie z wymaganiami określonymi przez producenta oraz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przyjętym sposobem jego eksploatacji w SZ RP. Instrukcja ta przewidziana jest dla wyspecjalizowanych zespołów obsługowo-naprawczych.</w:t>
            </w:r>
          </w:p>
          <w:p w:rsidR="00440B72" w:rsidRPr="00440B72" w:rsidRDefault="00440B72" w:rsidP="00440B72">
            <w:pPr>
              <w:spacing w:before="60" w:line="276" w:lineRule="auto"/>
              <w:ind w:left="1437" w:hanging="143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Instrukcja powinna zawierać m.in.: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zakresy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realizowanych w okresie gwarancyjnym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i pogwarancyjnym;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rodzaje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technicznych i ich częstotliwość (normy eksploatacyjne);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przewodniki technologiczne prowadzenia poszczególnych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technicznych oraz warunki techniczne sprawdzeń poprawności działania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oraz jego odbioru po wykonanym obsługiwaniu technicznym;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 specjalistycznych narzędzi, oprzyrządowania specjalnego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i aparatury kontrolno-pomiarowej (AKP), niezbędnych do przeprowadzenia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 materiałów eksploatacyjnych niezbędnych do realizacji w/w.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technicznych wraz ze wskazaniem miejsca ich pozyskania;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kryteria wyszkolenia zespołów do prowadzenia poszczególnych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 elementów (zespołów/podzespołów)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podlegających obligatoryjnemu serwisowaniu przez producenta lub autoryzowany serwis oraz czasookres ich realizacji;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przewodnik technologiczny konserwacji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przed jego długotrwałym przechowaniem;</w:t>
            </w:r>
          </w:p>
          <w:p w:rsidR="00440B72" w:rsidRPr="00440B72" w:rsidRDefault="00440B72" w:rsidP="00440B72">
            <w:pPr>
              <w:numPr>
                <w:ilvl w:val="0"/>
                <w:numId w:val="6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 części zamiennych i zamienników materiałów eksploatacyjnych wykorzystywanych w procesie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obsługiwań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Instrukcja Naprawy (IN)</w:t>
            </w:r>
          </w:p>
          <w:p w:rsidR="00440B72" w:rsidRPr="00440B72" w:rsidRDefault="00440B72" w:rsidP="00440B7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Instrukcja Naprawy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opisuje zakres czynności do wykonania przy uszkodzonym </w:t>
            </w:r>
            <w:proofErr w:type="spellStart"/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, poczynając od zdiagnozowania uszkodzenia poprzez jego usunięcie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br/>
              <w:t xml:space="preserve">i kończąc na sprawdzeniu poprawności pracy naprawionego </w:t>
            </w:r>
            <w:proofErr w:type="spellStart"/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. Instrukcja ta przeznaczona jest dla specjalistycznych zespołów obsługowo-naprawczych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br/>
              <w:t xml:space="preserve">wg przyjętego modelu (sposobu) eksploatacji danego </w:t>
            </w:r>
            <w:proofErr w:type="spellStart"/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tabs>
                <w:tab w:val="left" w:pos="709"/>
              </w:tabs>
              <w:spacing w:line="276" w:lineRule="auto"/>
              <w:ind w:left="425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:rsidR="00440B72" w:rsidRPr="00440B72" w:rsidRDefault="00440B72" w:rsidP="00440B72">
            <w:pPr>
              <w:tabs>
                <w:tab w:val="left" w:pos="709"/>
              </w:tabs>
              <w:spacing w:line="276" w:lineRule="auto"/>
              <w:ind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Instrukcja Naprawy powinna zawierać m.in.:</w:t>
            </w:r>
          </w:p>
          <w:p w:rsidR="00440B72" w:rsidRPr="00440B72" w:rsidRDefault="00440B72" w:rsidP="00440B72">
            <w:pPr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zasady prowadzenia napraw na gwarancji;</w:t>
            </w:r>
          </w:p>
          <w:p w:rsidR="00440B72" w:rsidRPr="00440B72" w:rsidRDefault="00440B72" w:rsidP="00440B72">
            <w:pPr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organizację systemu napraw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uwzględniającą podział na poziomy napraw oraz opis kompetencji na tych poziomach dla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specjalistycznych wojskowych zespołów obsługowo-naprawczych oraz serwisu producenta;</w:t>
            </w:r>
          </w:p>
          <w:p w:rsidR="00440B72" w:rsidRPr="00440B72" w:rsidRDefault="00440B72" w:rsidP="00440B72">
            <w:pPr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wykaz osób i instytucji wraz z zakresem kompetencji uprawnionych do naprawy oprogramowania (OPR);</w:t>
            </w:r>
          </w:p>
          <w:p w:rsidR="00440B72" w:rsidRPr="00440B72" w:rsidRDefault="00440B72" w:rsidP="00440B72">
            <w:pPr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szczegółowe metodyki weryfikacji poprawności działania wyrobu oraz diagnozowania uszkodzeń;</w:t>
            </w:r>
          </w:p>
          <w:p w:rsidR="00440B72" w:rsidRPr="00440B72" w:rsidRDefault="00440B72" w:rsidP="00440B72">
            <w:pPr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przewodniki technologiczne napraw poszczególnych elementów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i zespołów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niezbędnych do realizacji napraw na poszczególnych poziomach, zawierające odesłania do Zestawów Części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Zamiennch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i katalogów;</w:t>
            </w:r>
          </w:p>
          <w:p w:rsidR="00440B72" w:rsidRPr="00440B72" w:rsidRDefault="00440B72" w:rsidP="00440B72">
            <w:pPr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 specjalistycznych narzędzi, oprzyrządowania specjalnego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i aparatury kontrolno-pomiarowej (AKP) oraz podstawowych materiałów eksploatacyjnych, niezbędnych do realizacji napraw na poszczególnych poziomach</w:t>
            </w:r>
            <w:r w:rsidRPr="00440B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schemat instalacji elektrycznej, schemat instalacji hydraulicznej.</w:t>
            </w: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Katalog Części Zamiennych (</w:t>
            </w:r>
            <w:proofErr w:type="spellStart"/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KCzZ</w:t>
            </w:r>
            <w:proofErr w:type="spellEnd"/>
            <w:r w:rsidRPr="00440B7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  <w:p w:rsidR="00440B72" w:rsidRPr="00440B72" w:rsidRDefault="00440B72" w:rsidP="00440B72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Katalog Części Zamiennych jest wykazem części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 Umożliwia ich identyfikację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 i zamówienie w systemie zaopatrywania.</w:t>
            </w:r>
          </w:p>
          <w:p w:rsidR="00440B72" w:rsidRPr="00440B72" w:rsidRDefault="00440B72" w:rsidP="00440B72">
            <w:p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Katalog powinien być wykonany wg powszechnie stosowanych branżowych standardów w obrocie częściami i powinien uwzględniać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możliwość identyfikacji części w oparciu o jej wygląd zewnętrzny, sposób jej opisania, miejsce występowania oraz przypisanie jej do określonej pozycji katalogu.</w:t>
            </w:r>
          </w:p>
          <w:p w:rsidR="00440B72" w:rsidRPr="00440B72" w:rsidRDefault="00440B72" w:rsidP="00440B72">
            <w:p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Katalog powinien zawierać co najmniej:</w:t>
            </w:r>
          </w:p>
          <w:p w:rsidR="00440B72" w:rsidRPr="00440B72" w:rsidRDefault="00440B72" w:rsidP="00440B7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opis sposobu korzystania z katalogu, a także wyjaśnienie przyjętych oznaczeń;</w:t>
            </w:r>
          </w:p>
          <w:p w:rsidR="00440B72" w:rsidRPr="00440B72" w:rsidRDefault="00440B72" w:rsidP="00440B7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wykaz części i zespołów danego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 które w procesie eksploatacji mogą być  wymieniane;</w:t>
            </w:r>
          </w:p>
          <w:p w:rsidR="00440B72" w:rsidRPr="00440B72" w:rsidRDefault="00440B72" w:rsidP="00440B7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numery magazynowe NATO (NSN) jeśli wyrób został skodyfikowany;</w:t>
            </w:r>
          </w:p>
          <w:p w:rsidR="00440B72" w:rsidRPr="00440B72" w:rsidRDefault="00440B72" w:rsidP="00440B7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oznaczenia i numery katalogowe części stosowane przez ich producentów (firmy dystrybuujące);</w:t>
            </w:r>
          </w:p>
          <w:p w:rsidR="00440B72" w:rsidRPr="00440B72" w:rsidRDefault="00440B72" w:rsidP="00440B7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informacje o liczbie i miejscu występowania istotnych elementów (zespołów) w 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; </w:t>
            </w:r>
          </w:p>
          <w:p w:rsidR="00440B72" w:rsidRPr="00440B72" w:rsidRDefault="00440B72" w:rsidP="00440B7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nazwę Zestawu Części Zamiennych (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ZCzZ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), w którym część występuje.</w:t>
            </w:r>
          </w:p>
          <w:p w:rsidR="00440B72" w:rsidRPr="00440B72" w:rsidRDefault="00440B72" w:rsidP="00440B7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numPr>
                <w:ilvl w:val="1"/>
                <w:numId w:val="1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Przy opracowywaniu dokumentacji eksploatacyjnej Wykonawca powinien stosować następujące zapisy i zasady:</w:t>
            </w:r>
          </w:p>
          <w:p w:rsidR="00440B72" w:rsidRPr="00440B72" w:rsidRDefault="00440B72" w:rsidP="00440B72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spacing w:before="60" w:line="276" w:lineRule="auto"/>
              <w:ind w:left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15.2.1. Dokumentacja Eksploatacyjna (DE)</w:t>
            </w:r>
            <w:r w:rsidRPr="00440B7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powinna odzwierciedlać konstrukcyjne i funkcjonalne cechy </w:t>
            </w:r>
            <w:proofErr w:type="spellStart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numPr>
                <w:ilvl w:val="0"/>
                <w:numId w:val="7"/>
              </w:numPr>
              <w:spacing w:line="276" w:lineRule="auto"/>
              <w:ind w:left="567" w:hanging="20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DE powinna być JAWNA, wykonana w języku</w:t>
            </w:r>
            <w:r w:rsidRPr="00440B72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polskim, z prawem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do drukowania, powielania (kopiowania) na potrzeby SZ RP. W przypadku pozyskania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wyprodukowanego za granicą Wykonawca powinien do kompletu DE dołączyć dokumenty (instrukcje) źródłowe w języku, z których dokonano tłumaczenia.</w:t>
            </w:r>
          </w:p>
          <w:p w:rsidR="00440B72" w:rsidRPr="00440B72" w:rsidRDefault="00440B72" w:rsidP="00440B72">
            <w:pPr>
              <w:numPr>
                <w:ilvl w:val="0"/>
                <w:numId w:val="7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Wszystkie elementy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powinny być wzajemnie spójne a ich poziom szczegółowości powinien być tak dobrany aby zapewnić spełnienie wymagań określonych w niniejszych zapisach oraz cel przeznaczenia danego elementu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który wynika z przyjętego sposobu eksploatacji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 SZ RP.</w:t>
            </w:r>
          </w:p>
          <w:p w:rsidR="00440B72" w:rsidRPr="00440B72" w:rsidRDefault="00440B72" w:rsidP="00440B72">
            <w:pPr>
              <w:numPr>
                <w:ilvl w:val="0"/>
                <w:numId w:val="7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Za Oryginał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przyjmuje się dokumentację złożoną ze wszystkich elementów, które zostały wykonane do danego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która jest aktualizowana stosownie do rozwoju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i posiada możliwość odtworzenia wprowadzonych zmian. Oryginał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jest nadrzędny w stosunku do wszystkich istniejących elementów DE tego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numPr>
                <w:ilvl w:val="0"/>
                <w:numId w:val="7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Rysunki obrazujące rozmieszczenie i wzajemne powiązanie zespołów w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oraz części składowych w poszczególnych zespołach powinny być wykonane jako rysunki techniczne: wykonawcze, złożeniowe, montażowe lub schematyczne, przy wykorzystaniu rzutowania prostokątnego (metodą europejską) lub przy zastosowaniu rzutowania aksonometrycznego,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z zastosowaniem odpowiedniej podziałki (skali odwzorowania), w połączeniu ze specyfikacją.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numPr>
                <w:ilvl w:val="0"/>
                <w:numId w:val="7"/>
              </w:numPr>
              <w:spacing w:before="60" w:line="276" w:lineRule="auto"/>
              <w:ind w:left="426" w:hanging="284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Wraz z przekazaną DE Wykonawca powinien złożyć pisemne oświadczenie,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br/>
              <w:t xml:space="preserve">że DE została opracowana zgodnie z wymaganiami zawartymi w umowie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br/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 xml:space="preserve">o wykonanie zamówienia, z zachowaniem należytej staranności wymagalnej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br/>
              <w:t xml:space="preserve">w tego rodzaju pracach, a przedstawione elementy DE są spójne ze sobą 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br/>
              <w:t>i z wyrobem, którego dotyczą.</w:t>
            </w:r>
          </w:p>
          <w:p w:rsidR="00440B72" w:rsidRPr="00440B72" w:rsidRDefault="00440B72" w:rsidP="00440B72">
            <w:pPr>
              <w:spacing w:before="60" w:line="276" w:lineRule="auto"/>
              <w:ind w:left="426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numPr>
                <w:ilvl w:val="2"/>
                <w:numId w:val="32"/>
              </w:numPr>
              <w:spacing w:before="60" w:line="276" w:lineRule="auto"/>
              <w:ind w:left="1276" w:hanging="85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DE </w:t>
            </w:r>
            <w:proofErr w:type="spellStart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po jej wykonaniu podlega weryfikacji i uzgodnieniu przez nw. instytucje: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440B72" w:rsidRPr="00440B72" w:rsidRDefault="00440B72" w:rsidP="00440B72">
            <w:pPr>
              <w:numPr>
                <w:ilvl w:val="0"/>
                <w:numId w:val="17"/>
              </w:numPr>
              <w:spacing w:before="60"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dokumentacja użytkowania – opinia Instytucji Eksperckiej (Zarząd Inżynierii Wojskowej Inspektoratu Rodzajów Wojsk Dowództwa Generalnego Sił Zbrojnych)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, 00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-909 Warszawa, ul. </w:t>
            </w:r>
            <w:r w:rsidRPr="00440B72">
              <w:rPr>
                <w:rFonts w:ascii="Arial" w:eastAsia="Times New Roman" w:hAnsi="Arial" w:cs="Arial"/>
                <w:bCs/>
                <w:sz w:val="24"/>
                <w:szCs w:val="24"/>
              </w:rPr>
              <w:t>Żwirki i Wigury 9/13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 dokumentację należy uzgodnić przed terminem zgłoszenia wyrobu do odbioru wojskowego (RPW).</w:t>
            </w:r>
          </w:p>
          <w:p w:rsidR="00440B72" w:rsidRPr="00440B72" w:rsidRDefault="00440B72" w:rsidP="00440B72">
            <w:pPr>
              <w:numPr>
                <w:ilvl w:val="0"/>
                <w:numId w:val="17"/>
              </w:numPr>
              <w:spacing w:before="60" w:line="276" w:lineRule="auto"/>
              <w:ind w:left="851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dokumentacja zabezpieczenia – opinia Organu Logistycznego (OL) Szefostwo</w:t>
            </w:r>
            <w:r w:rsidRPr="00440B72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Eksploatacji Sprzętu Inżynieryjnego i Obrony Przed Bronią Masowego Rażenia Inspektoratu Wsparcia Sił Zbrojnych,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85-915 Bydgoszcz, ul. Dwernickiego 1, dokumentację należy uzgodnić przed terminem zgłoszenia wyrobu do odbioru wojskowego (RPW),</w:t>
            </w:r>
          </w:p>
          <w:p w:rsidR="00440B72" w:rsidRPr="00440B72" w:rsidRDefault="00440B72" w:rsidP="00440B7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Potwierdzenie uzgodnienia DE należy dostarczyć Zamawiającemu  wraz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z pierwszą fakturą  wystawioną na Zamawiającego i  kompletem dokumentów  wchodzących w jej skład. Uzgodnienia dokonywane są w formie arkusza uzgodnień. Wykonawca powinien opracować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z uwzględnieniem wymagań normalizacyjnych w tym Decyzji Nr 155/MON z dn. 07.11.2012 r.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 i Decyzji Nr 116/MON Ministra Obrony Narodowej z dnia 1 września 2021 r.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line="276" w:lineRule="auto"/>
              <w:ind w:left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Uzgodnienia dokonywane są w formie arkusza uzgodnień. Wykonawca powinien opracować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z uwzględnieniem wymagań normalizacyjnych w tym Decyzji Nr 155/MON z dn. 07.11.2012 r. i Decyzji Nr 116/MON Ministra Obrony Narodowej z dnia 1 września 2021 r.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Zakres merytoryczny i treść poszczególnych elementów dokumentacji elektronicznej i papierowej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powinny być jednakowe.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Wszystkie, wytworzone jako kopie, elementy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 bez względu na formę, powinny być ewidencjonowane i wiernie odzwierciedlać treść zaktualizowanego Oryginału.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Dokumentacja elektroniczna w szczególnych przypadkach może być wynikiem konwersji formy papierowej na formę elektroniczną (np. przez skanowanie).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Bez względu na postać, dokumentacja elektroniczna powinna być uporządkowana w formie hierarchicznej „drzewa katalogów”. Powinna posiadać możliwość wyszukiwania rozdziałów, podrozdziałów, rysunków oraz fragmentów tekstu poprzez zastosowanie oddzielnego okna dającego możliwość wpisania „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słowa-hasła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” poszukiwanej części dokumentacji.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Dokumentacja techniczna (DT)  z przeznaczeniem do Bazy DT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(oryginał, oznaczony symbolem „O”) powinna być wykonana w formie elektronicznej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 xml:space="preserve">i papierowej w formacie A4 oraz oznaczona wraz z informacjami na niej zawartymi. Oryginał dokumentacji technicznej powinien zawierać na pierwszej stronie (w przypadku dokumentacji w formie papierowej oraz dokumentacji elektronicznej skanowanej) oraz pojawiać się w formie jednoznacznego czytelnego komunikatu, wyświetlającego się zaraz po uruchomieniu (w wersji elektronicznej) informację: „Niniejszy dokument stanowi własność Skarbu Państwa Rzeczpospolitej Polskiej. Nieuprawnione kopiowanie, przekazywanie, usuwanie bądź zmienianie, którejkolwiek części niniejszego dokumentu jest zabronione i narusza prawa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majątkowe właściciela, co może być przedmiotem dochodzenia roszczeń od sprawcy naruszenia”;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Jeżeli do korzystania z DE w formie elektronicznej, niezbędne jest określone oprogramowanie, a Wykonawca dołączył do dokumentacji technicznej przekazywanej do zasobów resortu obrony narodowej wymagany program, Wykonawca ten, zobligowany jest przekazać Zamawiającemu DE oryginał umowy licencyjnej, uprawniającej do korzystania z programu w odpowiednim zakresie.</w:t>
            </w:r>
          </w:p>
          <w:p w:rsidR="00440B72" w:rsidRPr="00440B72" w:rsidRDefault="00440B72" w:rsidP="00440B72">
            <w:pPr>
              <w:numPr>
                <w:ilvl w:val="0"/>
                <w:numId w:val="33"/>
              </w:numPr>
              <w:spacing w:before="6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 przypadku, gdy do przetwarzania dokumentacji przekazywanej do zasobów resortu obrony narodowej, wymagany jest program komercyjny, powszechnie dostępny na rynku, a Zamawiający nie pozyskuje go wraz z DE, Wykonawca jest zobowiązany do przekazania pisemnej informacji wskazującej:</w:t>
            </w:r>
          </w:p>
          <w:p w:rsidR="00440B72" w:rsidRPr="00440B72" w:rsidRDefault="00440B72" w:rsidP="00440B72">
            <w:pPr>
              <w:numPr>
                <w:ilvl w:val="0"/>
                <w:numId w:val="8"/>
              </w:numPr>
              <w:spacing w:before="60" w:line="276" w:lineRule="auto"/>
              <w:ind w:left="1134"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nazwę oprogramowania;</w:t>
            </w:r>
          </w:p>
          <w:p w:rsidR="00440B72" w:rsidRPr="00440B72" w:rsidRDefault="00440B72" w:rsidP="00440B72">
            <w:pPr>
              <w:numPr>
                <w:ilvl w:val="0"/>
                <w:numId w:val="8"/>
              </w:numPr>
              <w:spacing w:before="60" w:line="276" w:lineRule="auto"/>
              <w:ind w:left="1134"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podmiot prawa, któremu przysługują autorskie prawa majątkowe jako właścicielowi oprogramowania;</w:t>
            </w:r>
          </w:p>
          <w:p w:rsidR="00440B72" w:rsidRPr="00440B72" w:rsidRDefault="00440B72" w:rsidP="00440B72">
            <w:pPr>
              <w:numPr>
                <w:ilvl w:val="0"/>
                <w:numId w:val="8"/>
              </w:numPr>
              <w:spacing w:before="60" w:line="276" w:lineRule="auto"/>
              <w:ind w:left="1134"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symbol/numer wersji oraz datę wytworzenia;</w:t>
            </w:r>
          </w:p>
          <w:p w:rsidR="00440B72" w:rsidRPr="00440B72" w:rsidRDefault="00440B72" w:rsidP="00440B72">
            <w:pPr>
              <w:numPr>
                <w:ilvl w:val="0"/>
                <w:numId w:val="8"/>
              </w:numPr>
              <w:spacing w:before="60" w:line="276" w:lineRule="auto"/>
              <w:ind w:left="1134"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inne niezbędne informacje umożliwiające właściwą identyfikację w celu nabycia licencji uprawniającej do korzystania z oprogramowania.</w:t>
            </w:r>
          </w:p>
          <w:p w:rsidR="00440B72" w:rsidRPr="00440B72" w:rsidRDefault="00440B72" w:rsidP="00440B72">
            <w:pPr>
              <w:numPr>
                <w:ilvl w:val="0"/>
                <w:numId w:val="34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 przypadku zastosowania nowoczesnych sposobów projektowania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powinna istnieć możliwość sprawdzenia DE przy wykorzystaniu standardowych informatycznych narzędzi weryfikacyjnych. Wykonawca powinien się zobowiązać do wprowadzenia zmian w DE wygenerowanych podczas jej uzgadniania i zatwierdzania.</w:t>
            </w:r>
          </w:p>
          <w:p w:rsidR="00440B72" w:rsidRPr="00440B72" w:rsidRDefault="00440B72" w:rsidP="00440B72">
            <w:pPr>
              <w:numPr>
                <w:ilvl w:val="0"/>
                <w:numId w:val="34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Dokumentacja papierowa złożonego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powinna być wykonana w formie hierarchicznej, umożliwiającej łatwe odnalezienie szukanej informacji (tekstu, rysunku, schematu, zdjęcia, itp.).</w:t>
            </w:r>
          </w:p>
          <w:p w:rsidR="00440B72" w:rsidRPr="00440B72" w:rsidRDefault="00440B72" w:rsidP="00440B72">
            <w:pPr>
              <w:numPr>
                <w:ilvl w:val="0"/>
                <w:numId w:val="34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Sposób opracowania powinien odpowiadać wymaganiom aktualnie obowiązujących norm i przyjętych standardów opracowania.</w:t>
            </w:r>
          </w:p>
          <w:p w:rsidR="00440B72" w:rsidRPr="00440B72" w:rsidRDefault="00440B72" w:rsidP="00440B72">
            <w:pPr>
              <w:numPr>
                <w:ilvl w:val="0"/>
                <w:numId w:val="34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Całość DE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 formie papierowej powinna być wykonana w sposób umożliwiający długotrwałe użytkowanie (trwałość druku, jakość papieru, oprawa - opisane, sztywne i twarde okładki, sposób zszycia, itp.), odpowiadające długości życia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DE dostarczona do Odbiorcy/Użytkowników powinna być w opakowaniu umożliwiającym jej długotrwałe przechowywanie. Elementy DE powinny znajdować się w odpowiednio przygotowanych i zabezpieczonych schowkach (kieszeniach) </w:t>
            </w:r>
            <w:proofErr w:type="spellStart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SpW</w:t>
            </w:r>
            <w:proofErr w:type="spellEnd"/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</w:p>
          <w:p w:rsidR="00440B72" w:rsidRPr="00440B72" w:rsidRDefault="00440B72" w:rsidP="00440B7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Do dokumentacji należy dołączyć kartę gwarancyjną oraz wniosek reklamacyjny. </w:t>
            </w:r>
          </w:p>
          <w:p w:rsidR="00440B72" w:rsidRPr="00440B72" w:rsidRDefault="00440B72" w:rsidP="00440B72">
            <w:pPr>
              <w:spacing w:before="60" w:line="276" w:lineRule="auto"/>
              <w:jc w:val="both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</w:p>
          <w:p w:rsidR="00440B72" w:rsidRPr="00440B72" w:rsidRDefault="00440B72" w:rsidP="00440B72">
            <w:pPr>
              <w:numPr>
                <w:ilvl w:val="3"/>
                <w:numId w:val="32"/>
              </w:numPr>
              <w:spacing w:line="276" w:lineRule="auto"/>
              <w:ind w:left="1134" w:hanging="708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Jeden komplet dokumentacji w postaci wydruku i na nośniku CD przesłać do:</w:t>
            </w:r>
          </w:p>
          <w:p w:rsidR="00440B72" w:rsidRPr="00440B72" w:rsidRDefault="00440B72" w:rsidP="00440B72">
            <w:pPr>
              <w:spacing w:line="276" w:lineRule="auto"/>
              <w:ind w:left="851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1. Zarząd Inżynierii Wojskowej, 00-909 Warszawa, ul. Żwirki i Wigury 9/13, </w:t>
            </w:r>
          </w:p>
          <w:p w:rsidR="00440B72" w:rsidRPr="00440B72" w:rsidRDefault="00440B72" w:rsidP="00440B72">
            <w:pPr>
              <w:spacing w:line="276" w:lineRule="auto"/>
              <w:ind w:left="851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2. Szefostwo Eksploatacji Sprzętu Inżynieryjnego i OPBMR Inspektoratu Wsparcia Sił Zbrojnych, ul. Dwernickiego 1, 85-915 Bydgoszcz </w:t>
            </w:r>
          </w:p>
          <w:p w:rsidR="00440B72" w:rsidRPr="00440B72" w:rsidRDefault="00440B72" w:rsidP="00440B72">
            <w:pPr>
              <w:spacing w:line="276" w:lineRule="auto"/>
              <w:ind w:left="851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3. Zamawiający.</w:t>
            </w:r>
          </w:p>
          <w:p w:rsidR="00440B72" w:rsidRPr="00440B72" w:rsidRDefault="00440B72" w:rsidP="00440B72">
            <w:pPr>
              <w:spacing w:line="276" w:lineRule="auto"/>
              <w:ind w:left="851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15.2.2.2.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Dokumentację (DE) Wykonawca przekaże Odbiorcy/Użytkownikom wskazanym w umowie oraz instytucjom wskazanym w pkt 15.2.2.1. w formie papierowej oraz elektronicznej (na nośniku CD-ROM lub DVD w formacie plików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pdf oraz w formacie źródłowym) po pozytywnej weryfikacji wraz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z pozytywną opinią elementów DE.</w:t>
            </w:r>
          </w:p>
          <w:p w:rsidR="00440B72" w:rsidRPr="00440B72" w:rsidRDefault="00440B72" w:rsidP="00440B72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  <w:p w:rsidR="00440B72" w:rsidRPr="00440B72" w:rsidRDefault="00440B72" w:rsidP="00440B72">
            <w:pPr>
              <w:numPr>
                <w:ilvl w:val="3"/>
                <w:numId w:val="35"/>
              </w:numPr>
              <w:spacing w:line="276" w:lineRule="auto"/>
              <w:ind w:left="851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dostarczy w formie papierowej oraz elektronicznej (format MS Word) do Zarządu Inżynierii Wojskowej, ul. Żwirki i Wigury 9/13, 01-909 Warszawa w terminie określonym w pkt 14 niniejszych WET uzgodni i przekaże kartę informacyjną zgodnie z załącznikiem nr 3.</w:t>
            </w:r>
          </w:p>
          <w:p w:rsidR="00440B72" w:rsidRPr="00440B72" w:rsidRDefault="00440B72" w:rsidP="00440B72">
            <w:pPr>
              <w:numPr>
                <w:ilvl w:val="3"/>
                <w:numId w:val="35"/>
              </w:numPr>
              <w:spacing w:line="276" w:lineRule="auto"/>
              <w:ind w:left="851" w:hanging="425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opracuje, uzgodni oraz dostarczy „Kartę szkicownika”</w:t>
            </w: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440B72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br/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na spycharko-ładowarkę w oparciu o „Procedurę wykonania </w:t>
            </w: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  <w:t>i uzgadniania Karty Szkicownika dla sprzętu wojskowego”.</w:t>
            </w:r>
          </w:p>
          <w:p w:rsidR="00440B72" w:rsidRPr="00440B72" w:rsidRDefault="00440B72" w:rsidP="00440B7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440B72" w:rsidRPr="00440B72" w:rsidRDefault="00440B72" w:rsidP="00440B7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0B7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Załączniki: 3 na 5 str.</w:t>
            </w: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1B1AA1" w:rsidRDefault="001B1AA1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Pr="0002322D" w:rsidRDefault="0002322D" w:rsidP="0002322D">
            <w:pPr>
              <w:ind w:left="-7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3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Załącznik nr 1</w:t>
            </w:r>
          </w:p>
          <w:p w:rsidR="0002322D" w:rsidRPr="0002322D" w:rsidRDefault="0002322D" w:rsidP="0002322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„WZÓR”</w:t>
            </w:r>
          </w:p>
          <w:p w:rsidR="0002322D" w:rsidRPr="0002322D" w:rsidRDefault="0002322D" w:rsidP="0002322D">
            <w:pPr>
              <w:spacing w:after="120"/>
              <w:ind w:left="7082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Egz. Nr ……..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3173"/>
              <w:gridCol w:w="2867"/>
            </w:tblGrid>
            <w:tr w:rsidR="0002322D" w:rsidRPr="0002322D" w:rsidTr="00FC7EDE">
              <w:tc>
                <w:tcPr>
                  <w:tcW w:w="3172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Z A T W I E R D Z A M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</w:t>
                  </w:r>
                </w:p>
              </w:tc>
            </w:tr>
            <w:tr w:rsidR="0002322D" w:rsidRPr="0002322D" w:rsidTr="00FC7EDE">
              <w:tc>
                <w:tcPr>
                  <w:tcW w:w="3172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>(miejscowość i data)</w:t>
                  </w:r>
                </w:p>
              </w:tc>
            </w:tr>
            <w:tr w:rsidR="0002322D" w:rsidRPr="0002322D" w:rsidTr="00FC7EDE">
              <w:tc>
                <w:tcPr>
                  <w:tcW w:w="3172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………………….……….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2322D" w:rsidRPr="0002322D" w:rsidTr="00FC7EDE">
              <w:tc>
                <w:tcPr>
                  <w:tcW w:w="3172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ZAMAWIAJĄCY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2322D" w:rsidRPr="0002322D" w:rsidTr="00FC7EDE">
              <w:tc>
                <w:tcPr>
                  <w:tcW w:w="3172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2322D" w:rsidRPr="0002322D" w:rsidTr="00FC7EDE">
              <w:tc>
                <w:tcPr>
                  <w:tcW w:w="3172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</w:rPr>
                    <w:t>(data i podpis)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02322D" w:rsidRPr="0002322D" w:rsidRDefault="0002322D" w:rsidP="0002322D">
            <w:pPr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32"/>
              </w:rPr>
            </w:pPr>
          </w:p>
          <w:p w:rsidR="0002322D" w:rsidRPr="0002322D" w:rsidRDefault="0002322D" w:rsidP="000232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322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PROTOKÓŁ </w:t>
            </w:r>
          </w:p>
          <w:p w:rsidR="0002322D" w:rsidRPr="0002322D" w:rsidRDefault="0002322D" w:rsidP="00023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 PRZEPROWADZONEGO SZKOLENIA</w:t>
            </w:r>
          </w:p>
          <w:p w:rsidR="0002322D" w:rsidRPr="0002322D" w:rsidRDefault="0002322D" w:rsidP="000232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2322D" w:rsidRPr="0002322D" w:rsidRDefault="0002322D" w:rsidP="0002322D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 ramach realizacji umowy nr……………..………z dnia………….w terminie </w:t>
            </w: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od ……....20….r. do ……..…20….r przeprowadzono szkolenie z zakresu eksploatacji i obsługi </w:t>
            </w:r>
            <w:r w:rsidRPr="0002322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……………………………………..</w:t>
            </w: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2322D" w:rsidRPr="0002322D" w:rsidRDefault="0002322D" w:rsidP="0002322D">
            <w:pPr>
              <w:numPr>
                <w:ilvl w:val="0"/>
                <w:numId w:val="38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Miejsce szkolenia ………………………………………………………………….</w:t>
            </w:r>
          </w:p>
          <w:p w:rsidR="0002322D" w:rsidRPr="0002322D" w:rsidRDefault="0002322D" w:rsidP="0002322D">
            <w:pPr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4"/>
              </w:rPr>
              <w:t>(podać miejsce szkolenia)</w:t>
            </w:r>
          </w:p>
          <w:p w:rsidR="0002322D" w:rsidRPr="0002322D" w:rsidRDefault="0002322D" w:rsidP="0002322D">
            <w:pPr>
              <w:numPr>
                <w:ilvl w:val="0"/>
                <w:numId w:val="38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Szkolenie przeprowadzone zostało zgodnie z zatwierdzonym, przez Instytucje Ekspercką </w:t>
            </w: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i OL-a, programem szkolenia obejmującym ………godzin szkoleniowych w tym ………. godzin praktycznych.</w:t>
            </w:r>
          </w:p>
          <w:p w:rsidR="0002322D" w:rsidRPr="0002322D" w:rsidRDefault="0002322D" w:rsidP="0002322D">
            <w:pPr>
              <w:numPr>
                <w:ilvl w:val="0"/>
                <w:numId w:val="38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Ilość przeszkolonych osób:</w:t>
            </w:r>
          </w:p>
          <w:p w:rsidR="0002322D" w:rsidRPr="0002322D" w:rsidRDefault="0002322D" w:rsidP="0002322D">
            <w:pPr>
              <w:numPr>
                <w:ilvl w:val="0"/>
                <w:numId w:val="37"/>
              </w:numPr>
              <w:spacing w:before="120" w:line="276" w:lineRule="auto"/>
              <w:ind w:left="1077" w:hanging="3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operatorów </w:t>
            </w:r>
            <w:proofErr w:type="spellStart"/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SpW</w:t>
            </w:r>
            <w:proofErr w:type="spellEnd"/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:……………………………………….</w:t>
            </w:r>
          </w:p>
          <w:p w:rsidR="0002322D" w:rsidRPr="0002322D" w:rsidRDefault="0002322D" w:rsidP="0002322D">
            <w:pPr>
              <w:numPr>
                <w:ilvl w:val="0"/>
                <w:numId w:val="37"/>
              </w:numPr>
              <w:spacing w:before="120" w:line="276" w:lineRule="auto"/>
              <w:ind w:left="1077" w:hanging="3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instruktorów: ………………………………..………….</w:t>
            </w:r>
          </w:p>
          <w:p w:rsidR="0002322D" w:rsidRPr="0002322D" w:rsidRDefault="0002322D" w:rsidP="0002322D">
            <w:pPr>
              <w:numPr>
                <w:ilvl w:val="0"/>
                <w:numId w:val="37"/>
              </w:numPr>
              <w:spacing w:before="120"/>
              <w:ind w:left="1077" w:hanging="3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personel techniczny: ………………………………………</w:t>
            </w:r>
          </w:p>
          <w:p w:rsidR="0002322D" w:rsidRPr="0002322D" w:rsidRDefault="0002322D" w:rsidP="0002322D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Prowadzący szkolenie (wykładowca):</w:t>
            </w:r>
          </w:p>
          <w:p w:rsidR="0002322D" w:rsidRPr="0002322D" w:rsidRDefault="0002322D" w:rsidP="000232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2699"/>
              <w:gridCol w:w="3216"/>
            </w:tblGrid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………………………………….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………………………………..</w:t>
                  </w:r>
                </w:p>
              </w:tc>
            </w:tr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>Miejscowość data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>Imię i nazwisko podpis</w:t>
                  </w:r>
                </w:p>
              </w:tc>
            </w:tr>
          </w:tbl>
          <w:p w:rsidR="0002322D" w:rsidRPr="0002322D" w:rsidRDefault="0002322D" w:rsidP="0002322D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2322D" w:rsidRPr="0002322D" w:rsidRDefault="0002322D" w:rsidP="0002322D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Potwierdzam przeprowadzenie szkolenia: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1965"/>
              <w:gridCol w:w="3950"/>
            </w:tblGrid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026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Odbiorca/Zamawiający/Użytkownik</w:t>
                  </w:r>
                </w:p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………………………………….</w:t>
                  </w:r>
                </w:p>
              </w:tc>
              <w:tc>
                <w:tcPr>
                  <w:tcW w:w="3026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………………………………….</w:t>
                  </w:r>
                </w:p>
              </w:tc>
            </w:tr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 xml:space="preserve">Miejscowość data </w:t>
                  </w:r>
                </w:p>
              </w:tc>
              <w:tc>
                <w:tcPr>
                  <w:tcW w:w="3026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  <w:proofErr w:type="spellStart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  <w:t>mp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  <w:t>.</w:t>
                  </w:r>
                </w:p>
              </w:tc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>imię i nazwisko podpis</w:t>
                  </w:r>
                </w:p>
              </w:tc>
            </w:tr>
          </w:tbl>
          <w:p w:rsidR="0002322D" w:rsidRPr="0002322D" w:rsidRDefault="0002322D" w:rsidP="0002322D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2322D" w:rsidRPr="0002322D" w:rsidRDefault="0002322D" w:rsidP="0002322D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Wykonawca: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1199"/>
              <w:gridCol w:w="4716"/>
            </w:tblGrid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………………………………….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48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……………………………….………………..</w:t>
                  </w:r>
                </w:p>
              </w:tc>
            </w:tr>
            <w:tr w:rsidR="0002322D" w:rsidRPr="0002322D" w:rsidTr="00FC7EDE">
              <w:tc>
                <w:tcPr>
                  <w:tcW w:w="3131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>Miejscowość data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</w:p>
              </w:tc>
              <w:tc>
                <w:tcPr>
                  <w:tcW w:w="4487" w:type="dxa"/>
                  <w:shd w:val="clear" w:color="auto" w:fill="auto"/>
                </w:tcPr>
                <w:p w:rsidR="0002322D" w:rsidRPr="0002322D" w:rsidRDefault="0002322D" w:rsidP="00023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4"/>
                    </w:rPr>
                    <w:t>Czytelny podpis lub podpis z pieczęcią imienną osoby/osób upoważnionych do reprezentowania Wykonawcy</w:t>
                  </w:r>
                </w:p>
              </w:tc>
            </w:tr>
          </w:tbl>
          <w:p w:rsidR="0002322D" w:rsidRPr="0002322D" w:rsidRDefault="0002322D" w:rsidP="0002322D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4"/>
              </w:rPr>
            </w:pPr>
          </w:p>
          <w:p w:rsidR="0002322D" w:rsidRPr="0002322D" w:rsidRDefault="0002322D" w:rsidP="0002322D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Załącznik nr 1 do protokołu:</w:t>
            </w:r>
          </w:p>
          <w:p w:rsidR="0002322D" w:rsidRPr="0002322D" w:rsidRDefault="0002322D" w:rsidP="0002322D">
            <w:pPr>
              <w:numPr>
                <w:ilvl w:val="3"/>
                <w:numId w:val="36"/>
              </w:numPr>
              <w:tabs>
                <w:tab w:val="num" w:pos="284"/>
                <w:tab w:val="left" w:pos="4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Imienna lista przeszkolonych</w:t>
            </w:r>
          </w:p>
          <w:p w:rsidR="0002322D" w:rsidRPr="0002322D" w:rsidRDefault="0002322D" w:rsidP="0002322D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Wykonano w 2 egz.:</w:t>
            </w:r>
          </w:p>
          <w:p w:rsidR="0002322D" w:rsidRPr="0002322D" w:rsidRDefault="0002322D" w:rsidP="0002322D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Egz. Nr 1 – a/a</w:t>
            </w:r>
          </w:p>
          <w:p w:rsidR="0002322D" w:rsidRPr="0002322D" w:rsidRDefault="0002322D" w:rsidP="0002322D">
            <w:pPr>
              <w:tabs>
                <w:tab w:val="left" w:pos="4214"/>
              </w:tabs>
              <w:spacing w:before="120" w:after="12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2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Egz. Nr 2 – Zamawiający</w:t>
            </w: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Pr="0002322D" w:rsidRDefault="0002322D" w:rsidP="0002322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2322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Załącznik nr 2</w:t>
            </w:r>
          </w:p>
          <w:tbl>
            <w:tblPr>
              <w:tblpPr w:leftFromText="141" w:rightFromText="141" w:vertAnchor="text" w:tblpX="-123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"/>
              <w:gridCol w:w="513"/>
              <w:gridCol w:w="140"/>
              <w:gridCol w:w="1552"/>
              <w:gridCol w:w="489"/>
              <w:gridCol w:w="1488"/>
              <w:gridCol w:w="708"/>
              <w:gridCol w:w="513"/>
              <w:gridCol w:w="334"/>
              <w:gridCol w:w="2371"/>
              <w:gridCol w:w="1147"/>
              <w:gridCol w:w="10"/>
            </w:tblGrid>
            <w:tr w:rsidR="0002322D" w:rsidRPr="0002322D" w:rsidTr="00FC7EDE">
              <w:trPr>
                <w:gridBefore w:val="1"/>
                <w:wBefore w:w="15" w:type="dxa"/>
                <w:cantSplit/>
              </w:trPr>
              <w:tc>
                <w:tcPr>
                  <w:tcW w:w="9317" w:type="dxa"/>
                  <w:gridSpan w:val="11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KARTA INFORMACYJNA </w:t>
                  </w:r>
                </w:p>
              </w:tc>
            </w:tr>
            <w:tr w:rsidR="0002322D" w:rsidRPr="0002322D" w:rsidTr="00FC7EDE">
              <w:trPr>
                <w:gridBefore w:val="1"/>
                <w:wBefore w:w="15" w:type="dxa"/>
                <w:cantSplit/>
              </w:trPr>
              <w:tc>
                <w:tcPr>
                  <w:tcW w:w="9317" w:type="dxa"/>
                  <w:gridSpan w:val="11"/>
                  <w:tcBorders>
                    <w:top w:val="single" w:sz="12" w:space="0" w:color="auto"/>
                  </w:tcBorders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23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 xml:space="preserve">DANE IDENTYFIKACYJNE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322D" w:rsidRPr="0002322D" w:rsidTr="00FC7EDE">
              <w:trPr>
                <w:gridBefore w:val="1"/>
                <w:wBefore w:w="15" w:type="dxa"/>
                <w:cantSplit/>
              </w:trPr>
              <w:tc>
                <w:tcPr>
                  <w:tcW w:w="9317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contextualSpacing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PEŁNA NAZWA: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contextualSpacing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Before w:val="1"/>
                <w:wBefore w:w="15" w:type="dxa"/>
                <w:cantSplit/>
              </w:trPr>
              <w:tc>
                <w:tcPr>
                  <w:tcW w:w="9317" w:type="dxa"/>
                  <w:gridSpan w:val="11"/>
                </w:tcPr>
                <w:p w:rsidR="0002322D" w:rsidRPr="0002322D" w:rsidRDefault="0002322D" w:rsidP="0002322D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contextualSpacing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PRODUCENT(numer wg oznaczeń producenta, nazwa producenta, jego kod NCAGE lub adres):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contextualSpacing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23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 xml:space="preserve">PRZEZNACZENIE I OPIS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PRZEZNACZENIE LUB ZASTOSOWANIE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OPIS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I JEGO WYPOSAŻENIA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ZASADNICZE ZESPOŁY/PODZESPOŁY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ORAZ JEGO OPROGRAMOWANIE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670" w:type="dxa"/>
                  <w:gridSpan w:val="3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560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Oznaczenie</w:t>
                  </w:r>
                </w:p>
              </w:tc>
              <w:tc>
                <w:tcPr>
                  <w:tcW w:w="709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Informacje dodatkowe (w tym numer indeksowy, inna instytucja ekspercka)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670" w:type="dxa"/>
                  <w:gridSpan w:val="3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670" w:type="dxa"/>
                  <w:gridSpan w:val="3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670" w:type="dxa"/>
                  <w:gridSpan w:val="3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670" w:type="dxa"/>
                  <w:gridSpan w:val="3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ZASADNICZE DANE TAKTYCZNO-TECHNICZNE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Parametr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Wartość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Dane taktyczne:</w:t>
                  </w:r>
                  <w:r w:rsidRPr="0002322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masa własna pojazdu                       [kg]                      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liczba miejsc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ładowność            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dopuszczalna masa całkowita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dopuszczalne obciążenie osi przednich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dopuszczalne obciążenie osi tylnych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dopuszczalna masa zestawu               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  <w:trHeight w:val="58"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długość   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szerokość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wysokość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rozstaw osi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rozstaw kół osi I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i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 II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rozstaw kół osi III i IV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zwis przedni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zwis tylny 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kąt natarcia                             [  °]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kąt zejścia                               [  °]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najmniejsza średnica zawracania w prawo / w  lewo                 [m]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głębokość brodzenia              [m]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prędkość maksymalna           [km/h]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minimalny prześwit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Dane techniczne: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  <w:trHeight w:val="2646"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Silnik: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umiejscowienie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producent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typ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liczba i układ cylindrów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objętość skokowa silnika            [cm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  <w:vertAlign w:val="superscript"/>
                    </w:rPr>
                    <w:t xml:space="preserve">3 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]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stopień sprężania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maksymalna moc silnika            [kW]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obroty mocy maksymalnej      [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obr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/min]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maksymalny moment obrotowy   [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Nm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]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przy obrotach                           [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obr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/min]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obroty biegu jałowego             [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obr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/min]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kierunek obrotów</w:t>
                  </w:r>
                </w:p>
              </w:tc>
              <w:tc>
                <w:tcPr>
                  <w:tcW w:w="3544" w:type="dxa"/>
                  <w:gridSpan w:val="2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Rozrząd - rodzaj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Pompa wtryskowa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Turbosprężarka-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Pompa paliwowa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Filtr paliwa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Filtr powietrza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Regulator obrotów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Układ chłodzenia - typ pompy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Sprzęgło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Skrzynia biegów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Skrzynia rozdzielcza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Napęd kół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Wały napędowe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Mosty napędowe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most przedni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oś przednia</w:t>
                  </w:r>
                </w:p>
                <w:p w:rsidR="0002322D" w:rsidRPr="0002322D" w:rsidRDefault="0002322D" w:rsidP="0002322D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mosty tylne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Mechanizm sterowania blokadą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Mechanizm kierowniczy – typ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Przekładnia kierownicza – typ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Wspomaganie - typ pompy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Hamulec roboczy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Hamulec awaryjny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Hamulec postojowy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Zawieszenie przednie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Zawieszenie tylne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Koła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Rama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Nadwozie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Instalacja elektryczna – typ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Akumulator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Alternator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Regulator napięcia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Rozrusznik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Podgrzewacz rozruchowy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Charakterystyka eksploatacyjna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Rodzaj paliwa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Olej silnikowy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Olej w skrzyni rozdzielczej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Olej w skrzyni biegów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Olej w przekładni głównej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Olej w układzie kierowniczym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Płyn hamulcowy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Płyn chłodzący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Smar stały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ab/>
                    <w:t>kg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Norma Zasadnicza zużycia paliwa</w:t>
                  </w:r>
                  <w:r w:rsidRPr="0002322D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         </w:t>
                  </w: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dm³/100 km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29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DOKUMENTACJA TECHNICZNA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I JEJ KLAUZULA TAJNOŚCI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Nazwa, forma, wydane orzeczenie o wprowadzeniu DT do zasobów MON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t xml:space="preserve">Miejsce przechowywania oryginału DT (jeśli jest inne niż Baza DT Agencji Uzbrojenia)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dokumentacja użytkowania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dokumentacja zabezpieczenia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dokumentacja konstrukcyjna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5778" w:type="dxa"/>
                  <w:gridSpan w:val="9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WYMAGANIA DOTYCZĄCE UŻYTKOWANIA, OBSŁUGIWANIA, NAPRAW, PRZECHOWYWANIA, MASKOWANIA I TRANSPORTOWANIA Z UWZGLĘDNIENIEM ZAPEWNIENIA BEZPIECZEŃSTWA INFORMACJI NIEJAWNYCH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użytkowanie: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Np. „Wymagania zgodnie z Instrukcją Użytkowania (pkt. …)”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obsługiwanie: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Np. „Wymagania zgodnie z Instrukcją Obsługiwania Technicznego (pkt. …)”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naprawy: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j.w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przechowywanie: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j.w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maskowanie: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j.w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transportowanie: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j.w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WYMAGANIA W ZAKRESIE ZABEZPIECZENIA METROLOGICZNEGO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(jeśli są na wyposażeniu takie przyrządy)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WYMAGANIA W ZAKRESIE DOZORU TECHNICZNEGO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(jeśli są na wyposażeniu takie urządzenia)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WYMAGANIA W ZAKRESIE ZABEZPIECZENIA ENERGETYCZNEGO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Na wyposażeniu pojazdu </w:t>
                  </w: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znajdują/nie znajdują</w:t>
                  </w:r>
                  <w:r w:rsidRPr="0002322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się przyrządy wymagające posiadania świadectw kwalifikacyjnych.*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  <w:t xml:space="preserve">POTRZEBY PRZESZKOLENIA (PRZYGOTOWANIA) UŻYTKOWNIKÓW </w:t>
                  </w:r>
                  <w:proofErr w:type="spellStart"/>
                  <w:r w:rsidRPr="0002322D"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  <w:t>SpW</w:t>
                  </w:r>
                  <w:proofErr w:type="spellEnd"/>
                  <w:r w:rsidRPr="0002322D"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  <w:t xml:space="preserve"> i PERSONELU TECHNICZNEGO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2D" w:rsidRPr="0002322D" w:rsidRDefault="0002322D" w:rsidP="0002322D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8"/>
                      <w:szCs w:val="18"/>
                    </w:rPr>
                    <w:t>Np. wykaz niezbędnych uprawnień do eksploatacji i konserwacji pojazdu i urządzenia załadowczego</w:t>
                  </w: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16"/>
                      <w:szCs w:val="16"/>
                    </w:rPr>
                    <w:lastRenderedPageBreak/>
                    <w:t xml:space="preserve">Uwaga: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</w:pPr>
                  <w:r w:rsidRPr="0002322D"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  <w:t xml:space="preserve">INNE USTALENIA </w:t>
                  </w:r>
                </w:p>
              </w:tc>
            </w:tr>
            <w:tr w:rsidR="0002322D" w:rsidRPr="0002322D" w:rsidTr="00FC7EDE">
              <w:trPr>
                <w:gridAfter w:val="1"/>
                <w:wAfter w:w="10" w:type="dxa"/>
                <w:cantSplit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322D" w:rsidRPr="0002322D" w:rsidTr="00FC7EDE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167" w:type="dxa"/>
                <w:cantSplit/>
              </w:trPr>
              <w:tc>
                <w:tcPr>
                  <w:tcW w:w="2721" w:type="dxa"/>
                  <w:gridSpan w:val="5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21" w:type="dxa"/>
                  <w:gridSpan w:val="3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2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2322D" w:rsidRPr="0002322D" w:rsidTr="00FC7EDE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167" w:type="dxa"/>
                <w:cantSplit/>
              </w:trPr>
              <w:tc>
                <w:tcPr>
                  <w:tcW w:w="8165" w:type="dxa"/>
                  <w:gridSpan w:val="10"/>
                </w:tcPr>
                <w:p w:rsidR="0002322D" w:rsidRPr="0002322D" w:rsidRDefault="0002322D" w:rsidP="000232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contextualSpacing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2322D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*Niepotrzebne skreślić</w:t>
                  </w:r>
                </w:p>
              </w:tc>
            </w:tr>
          </w:tbl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940B56" w:rsidRDefault="00940B56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  <w:bookmarkStart w:id="4" w:name="_GoBack"/>
            <w:bookmarkEnd w:id="4"/>
          </w:p>
          <w:p w:rsidR="0002322D" w:rsidRPr="0002322D" w:rsidRDefault="0002322D" w:rsidP="0002322D">
            <w:pPr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023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Załącznik nr 3</w:t>
            </w: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  <w:r w:rsidRPr="00E05718">
              <w:rPr>
                <w:b/>
                <w:noProof/>
              </w:rPr>
              <w:drawing>
                <wp:inline distT="0" distB="0" distL="0" distR="0">
                  <wp:extent cx="6115050" cy="7734300"/>
                  <wp:effectExtent l="19050" t="19050" r="19050" b="19050"/>
                  <wp:docPr id="1" name="Obraz 1" descr="Y:\Skan\SROO00521561803231142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Y:\Skan\SROO005215618032311421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7343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02322D" w:rsidRDefault="0002322D" w:rsidP="001B1AA1">
            <w:pPr>
              <w:ind w:right="50"/>
              <w:rPr>
                <w:rFonts w:ascii="Times New Roman" w:eastAsia="Arial" w:hAnsi="Times New Roman" w:cs="Times New Roman"/>
                <w:b/>
              </w:rPr>
            </w:pPr>
          </w:p>
          <w:p w:rsidR="00C75B42" w:rsidRDefault="00C75B42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C75B42" w:rsidRPr="001E01E2" w:rsidRDefault="00C75B42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9D4B0A" w:rsidRDefault="001E01E2">
      <w:pPr>
        <w:spacing w:after="4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355785" w:rsidRDefault="00355785">
      <w:pPr>
        <w:spacing w:after="42"/>
        <w:rPr>
          <w:rFonts w:ascii="Times New Roman" w:eastAsia="Arial" w:hAnsi="Times New Roman" w:cs="Times New Roman"/>
          <w:b/>
          <w:sz w:val="24"/>
        </w:rPr>
      </w:pPr>
    </w:p>
    <w:p w:rsidR="00355785" w:rsidRPr="001E01E2" w:rsidRDefault="00355785">
      <w:pPr>
        <w:spacing w:after="42"/>
        <w:rPr>
          <w:rFonts w:ascii="Times New Roman" w:hAnsi="Times New Roman" w:cs="Times New Roman"/>
        </w:rPr>
      </w:pP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Pr="001E01E2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1E01E2" w:rsidP="00C319D2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9D4B0A" w:rsidP="001E01E2">
      <w:pPr>
        <w:spacing w:after="0"/>
        <w:ind w:left="10" w:right="115" w:hanging="10"/>
        <w:jc w:val="right"/>
        <w:rPr>
          <w:rFonts w:ascii="Times New Roman" w:hAnsi="Times New Roman" w:cs="Times New Roman"/>
        </w:rPr>
      </w:pP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7B" w:rsidRDefault="00333B7B" w:rsidP="00C319D2">
      <w:pPr>
        <w:spacing w:after="0" w:line="240" w:lineRule="auto"/>
      </w:pPr>
      <w:r>
        <w:separator/>
      </w:r>
    </w:p>
  </w:endnote>
  <w:endnote w:type="continuationSeparator" w:id="0">
    <w:p w:rsidR="00333B7B" w:rsidRDefault="00333B7B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7B" w:rsidRDefault="00333B7B" w:rsidP="00C319D2">
      <w:pPr>
        <w:spacing w:after="0" w:line="240" w:lineRule="auto"/>
      </w:pPr>
      <w:r>
        <w:separator/>
      </w:r>
    </w:p>
  </w:footnote>
  <w:footnote w:type="continuationSeparator" w:id="0">
    <w:p w:rsidR="00333B7B" w:rsidRDefault="00333B7B" w:rsidP="00C319D2">
      <w:pPr>
        <w:spacing w:after="0" w:line="240" w:lineRule="auto"/>
      </w:pPr>
      <w:r>
        <w:continuationSeparator/>
      </w:r>
    </w:p>
  </w:footnote>
  <w:footnote w:id="1">
    <w:p w:rsidR="00440B72" w:rsidRPr="009B7C3A" w:rsidRDefault="00440B72" w:rsidP="00440B7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9E22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E226C">
        <w:rPr>
          <w:rFonts w:ascii="Arial" w:hAnsi="Arial" w:cs="Arial"/>
          <w:sz w:val="18"/>
          <w:szCs w:val="18"/>
        </w:rPr>
        <w:t xml:space="preserve"> </w:t>
      </w:r>
      <w:r w:rsidRPr="009B7C3A">
        <w:rPr>
          <w:rFonts w:ascii="Arial" w:hAnsi="Arial" w:cs="Arial"/>
          <w:color w:val="000000"/>
          <w:sz w:val="18"/>
          <w:szCs w:val="18"/>
        </w:rPr>
        <w:t>Za wyjątkiem: pojazdów o masie brutto mniejszej niż 3 ton oraz przyczep o masie brutto mniejszej niż 1,5 tony.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E8E"/>
    <w:multiLevelType w:val="hybridMultilevel"/>
    <w:tmpl w:val="5AAAC950"/>
    <w:lvl w:ilvl="0" w:tplc="A03CAE7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129241D"/>
    <w:multiLevelType w:val="multilevel"/>
    <w:tmpl w:val="0F26896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2A5D33"/>
    <w:multiLevelType w:val="multilevel"/>
    <w:tmpl w:val="613E01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63836B1"/>
    <w:multiLevelType w:val="hybridMultilevel"/>
    <w:tmpl w:val="5A18B254"/>
    <w:lvl w:ilvl="0" w:tplc="A0A69522">
      <w:start w:val="1"/>
      <w:numFmt w:val="ordinal"/>
      <w:lvlText w:val="2.1.3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49611E"/>
    <w:multiLevelType w:val="hybridMultilevel"/>
    <w:tmpl w:val="0A86172C"/>
    <w:lvl w:ilvl="0" w:tplc="A03CAE7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B6A0669"/>
    <w:multiLevelType w:val="hybridMultilevel"/>
    <w:tmpl w:val="23086AAC"/>
    <w:lvl w:ilvl="0" w:tplc="A03CAE7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F3635BC"/>
    <w:multiLevelType w:val="hybridMultilevel"/>
    <w:tmpl w:val="C23E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4F40"/>
    <w:multiLevelType w:val="hybridMultilevel"/>
    <w:tmpl w:val="19DEBF4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0FA03E4"/>
    <w:multiLevelType w:val="hybridMultilevel"/>
    <w:tmpl w:val="F2A8CA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FD3AAB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1738076D"/>
    <w:multiLevelType w:val="hybridMultilevel"/>
    <w:tmpl w:val="1A8E34B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3CF8"/>
    <w:multiLevelType w:val="multilevel"/>
    <w:tmpl w:val="86304E8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1BEF51C0"/>
    <w:multiLevelType w:val="hybridMultilevel"/>
    <w:tmpl w:val="DDEE6FF4"/>
    <w:lvl w:ilvl="0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756E7"/>
    <w:multiLevelType w:val="hybridMultilevel"/>
    <w:tmpl w:val="24C4D540"/>
    <w:lvl w:ilvl="0" w:tplc="854AD0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26431"/>
    <w:multiLevelType w:val="hybridMultilevel"/>
    <w:tmpl w:val="6CAC89DE"/>
    <w:lvl w:ilvl="0" w:tplc="AA52A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9440DB"/>
    <w:multiLevelType w:val="hybridMultilevel"/>
    <w:tmpl w:val="B4E0A9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D43BC"/>
    <w:multiLevelType w:val="hybridMultilevel"/>
    <w:tmpl w:val="9224D752"/>
    <w:lvl w:ilvl="0" w:tplc="3A6C9DF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252241DA"/>
    <w:multiLevelType w:val="hybridMultilevel"/>
    <w:tmpl w:val="7FF8C2A8"/>
    <w:lvl w:ilvl="0" w:tplc="3BF201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5AA2395"/>
    <w:multiLevelType w:val="multilevel"/>
    <w:tmpl w:val="0242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F85799"/>
    <w:multiLevelType w:val="hybridMultilevel"/>
    <w:tmpl w:val="1410FA5A"/>
    <w:lvl w:ilvl="0" w:tplc="56F0AE6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0D5390"/>
    <w:multiLevelType w:val="hybridMultilevel"/>
    <w:tmpl w:val="EBCEFF64"/>
    <w:lvl w:ilvl="0" w:tplc="A03CA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F35FA0"/>
    <w:multiLevelType w:val="hybridMultilevel"/>
    <w:tmpl w:val="35F68AAE"/>
    <w:lvl w:ilvl="0" w:tplc="18609E78">
      <w:start w:val="1"/>
      <w:numFmt w:val="decimal"/>
      <w:lvlText w:val="%1)"/>
      <w:lvlJc w:val="left"/>
      <w:pPr>
        <w:tabs>
          <w:tab w:val="num" w:pos="1551"/>
        </w:tabs>
        <w:ind w:left="1568" w:hanging="377"/>
      </w:pPr>
      <w:rPr>
        <w:rFonts w:hint="default"/>
      </w:rPr>
    </w:lvl>
    <w:lvl w:ilvl="1" w:tplc="621A1870">
      <w:start w:val="1"/>
      <w:numFmt w:val="bullet"/>
      <w:pStyle w:val="a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3" w:tplc="2CA8AA48">
      <w:start w:val="1"/>
      <w:numFmt w:val="bullet"/>
      <w:lvlText w:val="-"/>
      <w:lvlJc w:val="left"/>
      <w:pPr>
        <w:tabs>
          <w:tab w:val="num" w:pos="3711"/>
        </w:tabs>
        <w:ind w:left="3711" w:hanging="360"/>
      </w:pPr>
      <w:rPr>
        <w:rFonts w:ascii="Arial" w:eastAsia="SimSu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D9288340">
      <w:start w:val="4"/>
      <w:numFmt w:val="decimal"/>
      <w:lvlText w:val="%6."/>
      <w:lvlJc w:val="left"/>
      <w:pPr>
        <w:tabs>
          <w:tab w:val="num" w:pos="5331"/>
        </w:tabs>
        <w:ind w:left="5331" w:hanging="360"/>
      </w:pPr>
      <w:rPr>
        <w:rFonts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3" w15:restartNumberingAfterBreak="0">
    <w:nsid w:val="2CEF762A"/>
    <w:multiLevelType w:val="multilevel"/>
    <w:tmpl w:val="B44EAADC"/>
    <w:lvl w:ilvl="0">
      <w:start w:val="15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8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1" w:hanging="91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2D3A5505"/>
    <w:multiLevelType w:val="hybridMultilevel"/>
    <w:tmpl w:val="C1DCAE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4067B55"/>
    <w:multiLevelType w:val="hybridMultilevel"/>
    <w:tmpl w:val="575AA8BA"/>
    <w:lvl w:ilvl="0" w:tplc="884080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B50B3"/>
    <w:multiLevelType w:val="hybridMultilevel"/>
    <w:tmpl w:val="37726A2A"/>
    <w:lvl w:ilvl="0" w:tplc="A03CA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80C8D"/>
    <w:multiLevelType w:val="hybridMultilevel"/>
    <w:tmpl w:val="58ECA91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B951321"/>
    <w:multiLevelType w:val="hybridMultilevel"/>
    <w:tmpl w:val="35428236"/>
    <w:lvl w:ilvl="0" w:tplc="91DADF66">
      <w:numFmt w:val="bullet"/>
      <w:lvlText w:val="-"/>
      <w:lvlJc w:val="left"/>
      <w:pPr>
        <w:ind w:left="720" w:hanging="360"/>
      </w:pPr>
      <w:rPr>
        <w:rFonts w:ascii="OpenSymbol" w:hAnsi="OpenSymbol"/>
        <w:color w:val="auto"/>
      </w:rPr>
    </w:lvl>
    <w:lvl w:ilvl="1" w:tplc="91DADF66">
      <w:numFmt w:val="bullet"/>
      <w:lvlText w:val="-"/>
      <w:lvlJc w:val="left"/>
      <w:pPr>
        <w:ind w:left="1440" w:hanging="360"/>
      </w:pPr>
      <w:rPr>
        <w:rFonts w:ascii="OpenSymbol" w:hAnsi="Open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455DE"/>
    <w:multiLevelType w:val="hybridMultilevel"/>
    <w:tmpl w:val="C098FBDC"/>
    <w:lvl w:ilvl="0" w:tplc="91DADF66">
      <w:numFmt w:val="bullet"/>
      <w:lvlText w:val="-"/>
      <w:lvlJc w:val="left"/>
      <w:pPr>
        <w:ind w:left="1713" w:hanging="360"/>
      </w:pPr>
      <w:rPr>
        <w:rFonts w:ascii="OpenSymbol" w:hAnsi="Open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00C609B"/>
    <w:multiLevelType w:val="hybridMultilevel"/>
    <w:tmpl w:val="D58CE35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435966E5"/>
    <w:multiLevelType w:val="hybridMultilevel"/>
    <w:tmpl w:val="3CB6641E"/>
    <w:lvl w:ilvl="0" w:tplc="A03CAE7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48F6524A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4A9E51DC"/>
    <w:multiLevelType w:val="hybridMultilevel"/>
    <w:tmpl w:val="77CADAE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F301F"/>
    <w:multiLevelType w:val="multilevel"/>
    <w:tmpl w:val="C97AFD8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1804B7"/>
    <w:multiLevelType w:val="hybridMultilevel"/>
    <w:tmpl w:val="AB7EAE76"/>
    <w:lvl w:ilvl="0" w:tplc="91DADF66">
      <w:numFmt w:val="bullet"/>
      <w:lvlText w:val="-"/>
      <w:lvlJc w:val="left"/>
      <w:pPr>
        <w:ind w:left="1571" w:hanging="360"/>
      </w:pPr>
      <w:rPr>
        <w:rFonts w:ascii="OpenSymbol" w:hAnsi="Open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7A92C92"/>
    <w:multiLevelType w:val="hybridMultilevel"/>
    <w:tmpl w:val="48B25E82"/>
    <w:lvl w:ilvl="0" w:tplc="04150019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BF64DA"/>
    <w:multiLevelType w:val="hybridMultilevel"/>
    <w:tmpl w:val="F0E4DF70"/>
    <w:lvl w:ilvl="0" w:tplc="7E24C40C">
      <w:start w:val="1"/>
      <w:numFmt w:val="lowerLetter"/>
      <w:lvlText w:val="%1)"/>
      <w:lvlJc w:val="left"/>
      <w:pPr>
        <w:ind w:left="1003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B8A192D"/>
    <w:multiLevelType w:val="hybridMultilevel"/>
    <w:tmpl w:val="3210FC5A"/>
    <w:lvl w:ilvl="0" w:tplc="A03CAE74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9" w15:restartNumberingAfterBreak="0">
    <w:nsid w:val="5FDA699E"/>
    <w:multiLevelType w:val="hybridMultilevel"/>
    <w:tmpl w:val="9A320AF8"/>
    <w:lvl w:ilvl="0" w:tplc="91DADF66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OpenSymbol" w:hAnsi="OpenSymbol" w:hint="default"/>
        <w:color w:val="auto"/>
      </w:rPr>
    </w:lvl>
    <w:lvl w:ilvl="1" w:tplc="33FC9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E3EDF"/>
    <w:multiLevelType w:val="hybridMultilevel"/>
    <w:tmpl w:val="D896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A4119"/>
    <w:multiLevelType w:val="multilevel"/>
    <w:tmpl w:val="57AA9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51A6DDD"/>
    <w:multiLevelType w:val="multilevel"/>
    <w:tmpl w:val="2062A0B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BC81942"/>
    <w:multiLevelType w:val="hybridMultilevel"/>
    <w:tmpl w:val="66009A90"/>
    <w:lvl w:ilvl="0" w:tplc="A03CAE7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6BF572B6"/>
    <w:multiLevelType w:val="hybridMultilevel"/>
    <w:tmpl w:val="193693CC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E16CF"/>
    <w:multiLevelType w:val="hybridMultilevel"/>
    <w:tmpl w:val="247E424A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D5BFC"/>
    <w:multiLevelType w:val="hybridMultilevel"/>
    <w:tmpl w:val="2C9A6524"/>
    <w:lvl w:ilvl="0" w:tplc="04150017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 w15:restartNumberingAfterBreak="0">
    <w:nsid w:val="74B33881"/>
    <w:multiLevelType w:val="hybridMultilevel"/>
    <w:tmpl w:val="F182986E"/>
    <w:lvl w:ilvl="0" w:tplc="9E605BD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C77AEF"/>
    <w:multiLevelType w:val="multilevel"/>
    <w:tmpl w:val="014AB25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B7B5F18"/>
    <w:multiLevelType w:val="multilevel"/>
    <w:tmpl w:val="73145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43"/>
  </w:num>
  <w:num w:numId="4">
    <w:abstractNumId w:val="17"/>
  </w:num>
  <w:num w:numId="5">
    <w:abstractNumId w:val="4"/>
  </w:num>
  <w:num w:numId="6">
    <w:abstractNumId w:val="38"/>
  </w:num>
  <w:num w:numId="7">
    <w:abstractNumId w:val="20"/>
  </w:num>
  <w:num w:numId="8">
    <w:abstractNumId w:val="27"/>
  </w:num>
  <w:num w:numId="9">
    <w:abstractNumId w:val="31"/>
  </w:num>
  <w:num w:numId="10">
    <w:abstractNumId w:val="5"/>
  </w:num>
  <w:num w:numId="11">
    <w:abstractNumId w:val="26"/>
  </w:num>
  <w:num w:numId="12">
    <w:abstractNumId w:val="42"/>
  </w:num>
  <w:num w:numId="13">
    <w:abstractNumId w:val="37"/>
  </w:num>
  <w:num w:numId="14">
    <w:abstractNumId w:val="15"/>
  </w:num>
  <w:num w:numId="15">
    <w:abstractNumId w:val="36"/>
  </w:num>
  <w:num w:numId="16">
    <w:abstractNumId w:val="25"/>
  </w:num>
  <w:num w:numId="17">
    <w:abstractNumId w:val="8"/>
  </w:num>
  <w:num w:numId="18">
    <w:abstractNumId w:val="34"/>
  </w:num>
  <w:num w:numId="19">
    <w:abstractNumId w:val="49"/>
  </w:num>
  <w:num w:numId="20">
    <w:abstractNumId w:val="18"/>
  </w:num>
  <w:num w:numId="21">
    <w:abstractNumId w:val="22"/>
  </w:num>
  <w:num w:numId="22">
    <w:abstractNumId w:val="35"/>
  </w:num>
  <w:num w:numId="23">
    <w:abstractNumId w:val="47"/>
  </w:num>
  <w:num w:numId="24">
    <w:abstractNumId w:val="12"/>
  </w:num>
  <w:num w:numId="25">
    <w:abstractNumId w:val="3"/>
  </w:num>
  <w:num w:numId="26">
    <w:abstractNumId w:val="13"/>
  </w:num>
  <w:num w:numId="27">
    <w:abstractNumId w:val="29"/>
  </w:num>
  <w:num w:numId="28">
    <w:abstractNumId w:val="28"/>
  </w:num>
  <w:num w:numId="29">
    <w:abstractNumId w:val="2"/>
  </w:num>
  <w:num w:numId="30">
    <w:abstractNumId w:val="24"/>
  </w:num>
  <w:num w:numId="31">
    <w:abstractNumId w:val="46"/>
  </w:num>
  <w:num w:numId="32">
    <w:abstractNumId w:val="11"/>
  </w:num>
  <w:num w:numId="33">
    <w:abstractNumId w:val="19"/>
  </w:num>
  <w:num w:numId="34">
    <w:abstractNumId w:val="44"/>
  </w:num>
  <w:num w:numId="35">
    <w:abstractNumId w:val="23"/>
  </w:num>
  <w:num w:numId="36">
    <w:abstractNumId w:val="41"/>
  </w:num>
  <w:num w:numId="37">
    <w:abstractNumId w:val="14"/>
  </w:num>
  <w:num w:numId="38">
    <w:abstractNumId w:val="6"/>
  </w:num>
  <w:num w:numId="39">
    <w:abstractNumId w:val="10"/>
  </w:num>
  <w:num w:numId="40">
    <w:abstractNumId w:val="9"/>
  </w:num>
  <w:num w:numId="41">
    <w:abstractNumId w:val="45"/>
  </w:num>
  <w:num w:numId="42">
    <w:abstractNumId w:val="33"/>
  </w:num>
  <w:num w:numId="43">
    <w:abstractNumId w:val="32"/>
  </w:num>
  <w:num w:numId="44">
    <w:abstractNumId w:val="40"/>
  </w:num>
  <w:num w:numId="45">
    <w:abstractNumId w:val="7"/>
  </w:num>
  <w:num w:numId="46">
    <w:abstractNumId w:val="39"/>
  </w:num>
  <w:num w:numId="47">
    <w:abstractNumId w:val="0"/>
  </w:num>
  <w:num w:numId="48">
    <w:abstractNumId w:val="30"/>
  </w:num>
  <w:num w:numId="49">
    <w:abstractNumId w:val="48"/>
  </w:num>
  <w:num w:numId="50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2322D"/>
    <w:rsid w:val="000A2EE7"/>
    <w:rsid w:val="001B1AA1"/>
    <w:rsid w:val="001E01E2"/>
    <w:rsid w:val="0027610A"/>
    <w:rsid w:val="00291DF3"/>
    <w:rsid w:val="00333B7B"/>
    <w:rsid w:val="00355785"/>
    <w:rsid w:val="003F306C"/>
    <w:rsid w:val="00440B72"/>
    <w:rsid w:val="004B74FB"/>
    <w:rsid w:val="004F1547"/>
    <w:rsid w:val="0052217D"/>
    <w:rsid w:val="00594A0B"/>
    <w:rsid w:val="007910FF"/>
    <w:rsid w:val="0081114D"/>
    <w:rsid w:val="00940B56"/>
    <w:rsid w:val="009D4B0A"/>
    <w:rsid w:val="00BA09DC"/>
    <w:rsid w:val="00BD2EA2"/>
    <w:rsid w:val="00C319D2"/>
    <w:rsid w:val="00C5568B"/>
    <w:rsid w:val="00C75B42"/>
    <w:rsid w:val="00E12F91"/>
    <w:rsid w:val="00F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9C1F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F154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F15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,List Paragraph,1_literowka,Literowanie,Preambuła,Akapit z listą;1_literowka,Podsis rysunku,Bullet Number,lp1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,List Paragraph Znak,1_literowka Znak1,Literowanie Znak1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F15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F1547"/>
    <w:rPr>
      <w:rFonts w:ascii="Times New Roman" w:eastAsia="Times New Roman" w:hAnsi="Times New Roman" w:cs="Times New Roman"/>
      <w:b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F1547"/>
  </w:style>
  <w:style w:type="paragraph" w:styleId="Tekstpodstawowywcity3">
    <w:name w:val="Body Text Indent 3"/>
    <w:basedOn w:val="Normalny"/>
    <w:link w:val="Tekstpodstawowywcity3Znak"/>
    <w:rsid w:val="004F154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154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rsid w:val="004F1547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4F15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rsid w:val="004F154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F15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4F1547"/>
    <w:rPr>
      <w:vertAlign w:val="superscript"/>
    </w:rPr>
  </w:style>
  <w:style w:type="paragraph" w:customStyle="1" w:styleId="Standardowy1">
    <w:name w:val="Standardowy1"/>
    <w:basedOn w:val="Normalny"/>
    <w:rsid w:val="004F154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Bezodstpw">
    <w:name w:val="No Spacing"/>
    <w:qFormat/>
    <w:rsid w:val="004F15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4F1547"/>
    <w:pPr>
      <w:spacing w:after="200" w:line="276" w:lineRule="auto"/>
    </w:pPr>
    <w:rPr>
      <w:rFonts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1547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dokomentarza">
    <w:name w:val="annotation reference"/>
    <w:rsid w:val="004F15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154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154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F1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15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910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910FF"/>
    <w:rPr>
      <w:rFonts w:ascii="Calibri" w:eastAsia="Calibri" w:hAnsi="Calibri" w:cs="Calibri"/>
      <w:color w:val="000000"/>
    </w:rPr>
  </w:style>
  <w:style w:type="paragraph" w:customStyle="1" w:styleId="Style9">
    <w:name w:val="Style9"/>
    <w:basedOn w:val="Normalny"/>
    <w:uiPriority w:val="99"/>
    <w:rsid w:val="007910FF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29">
    <w:name w:val="Font Style29"/>
    <w:uiPriority w:val="99"/>
    <w:rsid w:val="007910FF"/>
    <w:rPr>
      <w:rFonts w:ascii="Times New Roman" w:hAnsi="Times New Roman" w:cs="Times New Roman"/>
      <w:sz w:val="22"/>
      <w:szCs w:val="22"/>
    </w:rPr>
  </w:style>
  <w:style w:type="paragraph" w:customStyle="1" w:styleId="a1">
    <w:name w:val="a1"/>
    <w:basedOn w:val="Normalny"/>
    <w:rsid w:val="007910FF"/>
    <w:pPr>
      <w:numPr>
        <w:ilvl w:val="1"/>
        <w:numId w:val="21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-justify">
    <w:name w:val="text-justify"/>
    <w:rsid w:val="0079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6331</Words>
  <Characters>37992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21</cp:revision>
  <dcterms:created xsi:type="dcterms:W3CDTF">2024-12-13T10:19:00Z</dcterms:created>
  <dcterms:modified xsi:type="dcterms:W3CDTF">2025-04-11T10:08:00Z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