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16E562" w14:textId="4B947699" w:rsidR="005A38A9" w:rsidRDefault="005A38A9" w:rsidP="00AA35D9">
      <w:r w:rsidRPr="005A38A9">
        <w:t>Odpowiedź na pytanie nr 5 w sprawie zamówienia o nr ref. 9/C/25</w:t>
      </w:r>
    </w:p>
    <w:p w14:paraId="099BBA6A" w14:textId="77777777" w:rsidR="005A38A9" w:rsidRDefault="005A38A9" w:rsidP="00AA35D9"/>
    <w:p w14:paraId="18358C83" w14:textId="466AC887" w:rsidR="00AA35D9" w:rsidRDefault="00AA35D9" w:rsidP="00AA35D9">
      <w:r>
        <w:t>Naprawy w</w:t>
      </w:r>
      <w:bookmarkStart w:id="0" w:name="_GoBack"/>
      <w:bookmarkEnd w:id="0"/>
      <w:r>
        <w:t>adliwie wykonanych elementów budynku:</w:t>
      </w:r>
    </w:p>
    <w:p w14:paraId="1549A724" w14:textId="744913DE" w:rsidR="00AA35D9" w:rsidRDefault="00AA35D9" w:rsidP="00AC76CE">
      <w:pPr>
        <w:pStyle w:val="Akapitzlist"/>
        <w:numPr>
          <w:ilvl w:val="0"/>
          <w:numId w:val="1"/>
        </w:numPr>
        <w:jc w:val="both"/>
      </w:pPr>
      <w:r>
        <w:t xml:space="preserve">Stwierdzono ponadnormową miejscową odchyłkę od pionu wynoszącą ponad 20 mm. Odchylenie występuje w narożniku budynku od strony północno-zachodniej na długości około 1,8 m. </w:t>
      </w:r>
      <w:r w:rsidR="009B28F6">
        <w:t>Tynk w</w:t>
      </w:r>
      <w:r>
        <w:t xml:space="preserve"> tym miejscu trzeba będzie </w:t>
      </w:r>
      <w:r w:rsidR="009B28F6">
        <w:t xml:space="preserve">wykonać w </w:t>
      </w:r>
      <w:r>
        <w:t>dwu</w:t>
      </w:r>
      <w:r w:rsidR="009B28F6">
        <w:t xml:space="preserve"> warstwach z siatką ocynkowaną np. typu Ledóchowskiego zamocowan</w:t>
      </w:r>
      <w:r w:rsidR="00133989">
        <w:t>ą</w:t>
      </w:r>
      <w:r w:rsidR="009B28F6">
        <w:t xml:space="preserve"> do ściany za pomocą łączników ocynkowanych</w:t>
      </w:r>
      <w:r>
        <w:t>.</w:t>
      </w:r>
    </w:p>
    <w:p w14:paraId="459DCEDE" w14:textId="2454380A" w:rsidR="00AA35D9" w:rsidRDefault="00AA35D9" w:rsidP="00AC76CE">
      <w:pPr>
        <w:pStyle w:val="Akapitzlist"/>
        <w:numPr>
          <w:ilvl w:val="0"/>
          <w:numId w:val="1"/>
        </w:numPr>
        <w:jc w:val="both"/>
      </w:pPr>
      <w:r>
        <w:t xml:space="preserve">Na jednej ze ścian działowych o grubości 8 cm nie widać odpowiedniego oparcia nadproża na ścianie działowej. Na Zdjęciu 10 są widoczne tylko wystające pręty zbrojeniowe bez warstwy otuliny betonowej. Brak zdjętego szalunku utrudnia prawidłowość oceny poprawnego oparcia nadproża nad ścianą działową. Aby ustabilizować wątpliwe podparcie nadproża nad ścianą działową </w:t>
      </w:r>
      <w:r w:rsidR="009B28F6">
        <w:t>należy</w:t>
      </w:r>
      <w:r>
        <w:t xml:space="preserve"> zamontowa</w:t>
      </w:r>
      <w:r w:rsidR="009B28F6">
        <w:t>ć</w:t>
      </w:r>
      <w:r>
        <w:t xml:space="preserve"> kątownik stalow</w:t>
      </w:r>
      <w:r w:rsidR="009B28F6">
        <w:t>y</w:t>
      </w:r>
      <w:r>
        <w:t>, zabezpieczon</w:t>
      </w:r>
      <w:r w:rsidR="00AB757E">
        <w:t>y</w:t>
      </w:r>
      <w:r>
        <w:t xml:space="preserve"> przed rdzą farbą do powierzchni metalowych</w:t>
      </w:r>
      <w:r w:rsidR="00AB757E">
        <w:t>,</w:t>
      </w:r>
      <w:r>
        <w:t xml:space="preserve"> o wymiarach 120x120 mm, szerokość 80 mm i grubość 8 mm, mocując go do muru i nadproża za pomocą kotew stalowych długości 60 mm i średnicy 10 mm w ilości po 2szt w pionie i poziomie.</w:t>
      </w:r>
    </w:p>
    <w:p w14:paraId="58DBBE56" w14:textId="0EAD2C2E" w:rsidR="00AA35D9" w:rsidRDefault="00AA35D9" w:rsidP="00AC76CE">
      <w:pPr>
        <w:pStyle w:val="Akapitzlist"/>
        <w:numPr>
          <w:ilvl w:val="0"/>
          <w:numId w:val="1"/>
        </w:numPr>
        <w:jc w:val="both"/>
      </w:pPr>
      <w:r>
        <w:t>Na sześciu oknach nie wykonano właściwego przewiązania muru (Zdjęcie 11). Jedną warstwę podokienną muru</w:t>
      </w:r>
      <w:r w:rsidR="008C7F30">
        <w:t xml:space="preserve"> </w:t>
      </w:r>
      <w:r>
        <w:t>w 6 oknach wykonano w późniejszym etapie bez wzmocnienia tego muru prętami kotwiącymi. Brak zbrojenia podokiennego będzie skutkowało pojawieniem się rys ukośnych. Ich przebieg w przyszłości (gdy budynek będzie całkowicie obciążony) pokazano na Zdjęciu 12. Ze względu na to, że rysy jeszcze nie powstały i mamy do czynienia ze stanem surowym budynku</w:t>
      </w:r>
      <w:r w:rsidR="008C7F30">
        <w:t>. Należy</w:t>
      </w:r>
      <w:r>
        <w:t xml:space="preserve"> usun</w:t>
      </w:r>
      <w:r w:rsidR="008C7F30">
        <w:t>ąć</w:t>
      </w:r>
      <w:r>
        <w:t xml:space="preserve"> bloczk</w:t>
      </w:r>
      <w:r w:rsidR="008C7F30">
        <w:t>i</w:t>
      </w:r>
      <w:r>
        <w:t xml:space="preserve"> muru podokiennego (jedna warstwa bloczków) wraz z podcięciem brzegów przyokiennych z dwóch stron na głębokość mini</w:t>
      </w:r>
      <w:r w:rsidR="009B28F6">
        <w:t xml:space="preserve">mum </w:t>
      </w:r>
      <w:r>
        <w:t xml:space="preserve">14 cm, a następnie prawidłowe przemurowanie warstwy podokiennej lub wykonanie żelbetowego podokiennika z betonu C12/15 wzmocnionego zbrojeniem żebrowanym 4#10 i strzemionami Φ6 co 15 cm. Te prace należy wykonać w sześciu </w:t>
      </w:r>
      <w:r w:rsidR="009B28F6">
        <w:t>oknach</w:t>
      </w:r>
      <w:r>
        <w:t>.</w:t>
      </w:r>
    </w:p>
    <w:p w14:paraId="606C1C33" w14:textId="30CD683B" w:rsidR="00AA35D9" w:rsidRDefault="00AA35D9" w:rsidP="00AC76CE">
      <w:pPr>
        <w:pStyle w:val="Akapitzlist"/>
        <w:numPr>
          <w:ilvl w:val="0"/>
          <w:numId w:val="1"/>
        </w:numPr>
        <w:jc w:val="both"/>
      </w:pPr>
      <w:r>
        <w:t>Nie wykonano wieńca nad ścianami fundamentowymi budynku</w:t>
      </w:r>
      <w:r w:rsidR="00CA1BCF">
        <w:t xml:space="preserve">. </w:t>
      </w:r>
      <w:r>
        <w:t xml:space="preserve">Jak wynika z obliczeń statyczno-wytrzymałościowych uwzględniających brak wieńca żelbetowego nad ścianami fundamentowymi warunki wyboczeniowe muru przyziemia i warunki nośności w 3 punktach ściany przyziemia zostały spełnione. </w:t>
      </w:r>
      <w:r w:rsidR="00CA1BCF">
        <w:t>Należy</w:t>
      </w:r>
      <w:r>
        <w:t xml:space="preserve"> wykona</w:t>
      </w:r>
      <w:r w:rsidR="00CA1BCF">
        <w:t>ć</w:t>
      </w:r>
      <w:r>
        <w:t xml:space="preserve"> wie</w:t>
      </w:r>
      <w:r w:rsidR="00CA1BCF">
        <w:t>niec</w:t>
      </w:r>
      <w:r>
        <w:t xml:space="preserve"> zastępcz</w:t>
      </w:r>
      <w:r w:rsidR="00CA1BCF">
        <w:t>y</w:t>
      </w:r>
      <w:r>
        <w:t xml:space="preserve"> w postaci opaski stalowej, wykonanej z ocynkowanych dwóch płaskowników</w:t>
      </w:r>
      <w:r w:rsidR="00C06F6F">
        <w:t xml:space="preserve"> </w:t>
      </w:r>
      <w:r w:rsidR="00C06F6F" w:rsidRPr="00C06F6F">
        <w:rPr>
          <w:b/>
          <w:color w:val="FF0000"/>
        </w:rPr>
        <w:t xml:space="preserve">(UWAGA ! Powłoka </w:t>
      </w:r>
      <w:proofErr w:type="spellStart"/>
      <w:r w:rsidR="00C06F6F" w:rsidRPr="00C06F6F">
        <w:rPr>
          <w:b/>
          <w:color w:val="FF0000"/>
        </w:rPr>
        <w:t>ocynku</w:t>
      </w:r>
      <w:proofErr w:type="spellEnd"/>
      <w:r w:rsidR="00C06F6F" w:rsidRPr="00C06F6F">
        <w:rPr>
          <w:b/>
          <w:color w:val="FF0000"/>
        </w:rPr>
        <w:t xml:space="preserve"> gwarantująca trwałość co najmniej 30 lat)</w:t>
      </w:r>
      <w:r>
        <w:t>, które usztywnią górną część ścian fundamentowych tym samym stabilizując mury przyziemia. Należy zastosować dwa płaskowniki o szerokości 80 mm i grubości 10 mm wokół całego budynku na wysokości ostatniego bloczka betonowego. Montaż płaskowników należy wykonać zgodnie z poniższymi zasadami:</w:t>
      </w:r>
    </w:p>
    <w:p w14:paraId="2E82C84D" w14:textId="2AF819E3" w:rsidR="00AA35D9" w:rsidRDefault="00AA35D9" w:rsidP="00AC76CE">
      <w:pPr>
        <w:jc w:val="both"/>
      </w:pPr>
      <w:r>
        <w:t xml:space="preserve">a/ Usunąć istniejącą folię budowlaną </w:t>
      </w:r>
      <w:proofErr w:type="spellStart"/>
      <w:r>
        <w:t>pvc</w:t>
      </w:r>
      <w:proofErr w:type="spellEnd"/>
      <w:r>
        <w:t xml:space="preserve"> oraz zewnętrzną izolację termiczną na wysokość dwóch ostatnich rzędów bloczków fundamentowych</w:t>
      </w:r>
      <w:r w:rsidR="00CA1BCF">
        <w:t>,</w:t>
      </w:r>
    </w:p>
    <w:p w14:paraId="471E809E" w14:textId="7396544E" w:rsidR="00CA1BCF" w:rsidRDefault="00AA35D9" w:rsidP="00AC76CE">
      <w:pPr>
        <w:jc w:val="both"/>
      </w:pPr>
      <w:r>
        <w:t>b/ Wykonać frezowanie dwóch naroży budynku od strony północno-zachodniej i południowo-zachodniej (tam gdzie występuje przewiązanie muru) na wysokości 50 cm od góry fundamentowego bloczka betonowego znajdującego się w drugiej warstwie, aby zamocować stalowy kątownik narożny o wymiarach 100x100x10 mm, długość 50 cm. Przed montażem kątownika zabezpieczyć go przez zardzewieniem stosując 2</w:t>
      </w:r>
      <w:r w:rsidR="00CA1BCF">
        <w:t xml:space="preserve"> </w:t>
      </w:r>
      <w:r>
        <w:t>warstw</w:t>
      </w:r>
      <w:r w:rsidR="00CA1BCF">
        <w:t xml:space="preserve">y </w:t>
      </w:r>
      <w:r>
        <w:t xml:space="preserve">farby antykorozyjnej do metalu na całej powierzchni kątownika od zewnątrz (od wewnątrz zabezpieczyć klejem bitumicznym np. </w:t>
      </w:r>
      <w:proofErr w:type="spellStart"/>
      <w:r>
        <w:t>Enkolit</w:t>
      </w:r>
      <w:proofErr w:type="spellEnd"/>
      <w:r w:rsidR="00CA1BCF">
        <w:t xml:space="preserve"> </w:t>
      </w:r>
      <w:r w:rsidR="005026FA" w:rsidRPr="005026FA">
        <w:t>lub innym co najmniej tej samej jakości</w:t>
      </w:r>
      <w:r w:rsidR="00C06F6F">
        <w:t xml:space="preserve">) </w:t>
      </w:r>
      <w:r>
        <w:t>podczas wklejania kątownika.</w:t>
      </w:r>
      <w:r w:rsidR="00CA1BCF">
        <w:t xml:space="preserve"> Przed wykonaniem warstwy kleju zawsze należy wykonać </w:t>
      </w:r>
      <w:r w:rsidR="00CA1BCF">
        <w:lastRenderedPageBreak/>
        <w:t xml:space="preserve">warstwę odcinającą ograniczającą destrukcyjne działanie rozpuszczalników zawartych w kleju, </w:t>
      </w:r>
      <w:r w:rsidR="00AC76CE">
        <w:t xml:space="preserve">             </w:t>
      </w:r>
      <w:r w:rsidR="00CA1BCF">
        <w:t xml:space="preserve">np. </w:t>
      </w:r>
      <w:proofErr w:type="spellStart"/>
      <w:r w:rsidR="00C06F6F">
        <w:t>Enke</w:t>
      </w:r>
      <w:proofErr w:type="spellEnd"/>
      <w:r w:rsidR="00C06F6F">
        <w:t xml:space="preserve"> </w:t>
      </w:r>
      <w:proofErr w:type="spellStart"/>
      <w:r w:rsidR="00C06F6F">
        <w:t>Betoncoat</w:t>
      </w:r>
      <w:proofErr w:type="spellEnd"/>
      <w:r w:rsidR="00C06F6F">
        <w:t xml:space="preserve"> </w:t>
      </w:r>
      <w:proofErr w:type="spellStart"/>
      <w:r w:rsidR="00C06F6F">
        <w:t>Grundierung</w:t>
      </w:r>
      <w:proofErr w:type="spellEnd"/>
      <w:r w:rsidR="00C06F6F">
        <w:t xml:space="preserve"> 2K</w:t>
      </w:r>
      <w:r w:rsidR="005026FA">
        <w:t xml:space="preserve"> </w:t>
      </w:r>
      <w:r w:rsidR="005026FA" w:rsidRPr="005026FA">
        <w:t>lub innym co najmniej tej samej jakości</w:t>
      </w:r>
      <w:r w:rsidR="00C06F6F">
        <w:t>.</w:t>
      </w:r>
    </w:p>
    <w:p w14:paraId="0FF37775" w14:textId="692D3523" w:rsidR="00AA35D9" w:rsidRDefault="00AA35D9" w:rsidP="00AC76CE">
      <w:pPr>
        <w:jc w:val="both"/>
      </w:pPr>
      <w:r>
        <w:t xml:space="preserve">c/ Wkleić w miejsce frezowania powyższy kątownik np. klejem bitumicznym </w:t>
      </w:r>
      <w:proofErr w:type="spellStart"/>
      <w:r>
        <w:t>Enkolit</w:t>
      </w:r>
      <w:proofErr w:type="spellEnd"/>
      <w:r>
        <w:t xml:space="preserve"> firmy ENKE-WERK </w:t>
      </w:r>
      <w:r w:rsidR="00FF037F" w:rsidRPr="00FF037F">
        <w:t xml:space="preserve">lub innym co najmniej tej samej jakości </w:t>
      </w:r>
      <w:r>
        <w:t>bitumicznym klejem do montażu elementów stalowych tak, aby miejsce frezowania było zabezpieczone od działania wody</w:t>
      </w:r>
      <w:r w:rsidR="00AC76CE">
        <w:t>.</w:t>
      </w:r>
    </w:p>
    <w:p w14:paraId="0A3A8AD7" w14:textId="02FAC72E" w:rsidR="00AA35D9" w:rsidRDefault="00AA35D9" w:rsidP="00AC76CE">
      <w:pPr>
        <w:jc w:val="both"/>
      </w:pPr>
      <w:r>
        <w:t>d/ Dokonać montażu płaskowników stalowych</w:t>
      </w:r>
      <w:r w:rsidR="00C06F6F">
        <w:t xml:space="preserve"> ocynkowanych</w:t>
      </w:r>
      <w:r>
        <w:t xml:space="preserve"> d i g (rys. 3 szkic wieńca zastępczego) o wymiarze 80x10 mm wzdłuż każdej elewacji budynku montując go przy zastosowaniu kotew wklejanych np. typu HIT-RE 500 V4 + HAS-U 8.8 HDG M10 </w:t>
      </w:r>
      <w:r w:rsidR="00FF037F" w:rsidRPr="00FF037F">
        <w:t>lub innym</w:t>
      </w:r>
      <w:r w:rsidR="00522B80">
        <w:t>i</w:t>
      </w:r>
      <w:r w:rsidR="00FF037F" w:rsidRPr="00FF037F">
        <w:t xml:space="preserve"> co najmniej tej samej jakości</w:t>
      </w:r>
      <w:r>
        <w:t>, co opisano poniżej:</w:t>
      </w:r>
    </w:p>
    <w:p w14:paraId="02ED0A97" w14:textId="77777777" w:rsidR="00AA35D9" w:rsidRDefault="00AA35D9" w:rsidP="00AA35D9">
      <w:r>
        <w:t>- Elewacja północno-zachodnia</w:t>
      </w:r>
    </w:p>
    <w:p w14:paraId="5ABBE3F9" w14:textId="57990971" w:rsidR="00AA35D9" w:rsidRDefault="00AA35D9" w:rsidP="00812CF2">
      <w:pPr>
        <w:jc w:val="both"/>
      </w:pPr>
      <w:r>
        <w:t xml:space="preserve">Montaż płaskowników do kątownika stalowego wpuszczonego w mur poprzez spaw ciągły długości </w:t>
      </w:r>
      <w:r w:rsidR="00812CF2">
        <w:t xml:space="preserve"> </w:t>
      </w:r>
      <w:r>
        <w:t xml:space="preserve">100 mm dwustronny, spoina spawu o grubości 7 mm, przerwy połączeń płaskowników realizować na czterech słupach żelbetowych za pomocą dwóch kotew </w:t>
      </w:r>
      <w:r w:rsidR="00FF037F">
        <w:t xml:space="preserve">np. </w:t>
      </w:r>
      <w:r>
        <w:t xml:space="preserve">HIT-RE 500 V4 + HAS-U 8.8 HDG M10 </w:t>
      </w:r>
      <w:r w:rsidR="00FF037F" w:rsidRPr="00FF037F">
        <w:t xml:space="preserve">lub innym co najmniej tej samej jakości </w:t>
      </w:r>
      <w:r>
        <w:t xml:space="preserve">z jednej strony połączenia, razem </w:t>
      </w:r>
      <w:r w:rsidR="00522B80">
        <w:t>4</w:t>
      </w:r>
      <w:r>
        <w:t xml:space="preserve"> kotw</w:t>
      </w:r>
      <w:r w:rsidR="00522B80">
        <w:t>y x 4 słupy</w:t>
      </w:r>
      <w:r>
        <w:t xml:space="preserve">. Miejsca połączeń spawanych zabezpieczyć dodatkowo </w:t>
      </w:r>
      <w:r w:rsidR="005026FA">
        <w:t xml:space="preserve">np. </w:t>
      </w:r>
      <w:r>
        <w:t xml:space="preserve">klejem bitumicznym </w:t>
      </w:r>
      <w:proofErr w:type="spellStart"/>
      <w:r>
        <w:t>Enkolit</w:t>
      </w:r>
      <w:proofErr w:type="spellEnd"/>
      <w:r w:rsidR="005026FA">
        <w:t xml:space="preserve"> </w:t>
      </w:r>
      <w:bookmarkStart w:id="1" w:name="_Hlk194485212"/>
      <w:r w:rsidR="005026FA">
        <w:t xml:space="preserve">lub innym co najmniej </w:t>
      </w:r>
      <w:r w:rsidR="005026FA" w:rsidRPr="005026FA">
        <w:t>tej samej jakości</w:t>
      </w:r>
      <w:bookmarkEnd w:id="1"/>
      <w:r w:rsidR="005026FA">
        <w:t>.</w:t>
      </w:r>
    </w:p>
    <w:p w14:paraId="414D7667" w14:textId="68208FA1" w:rsidR="00AA35D9" w:rsidRDefault="00AA35D9" w:rsidP="00812CF2">
      <w:pPr>
        <w:jc w:val="both"/>
      </w:pPr>
      <w:r>
        <w:t xml:space="preserve">Płaskowniki kotwić do bloczków fundamentowych za pomocą 1szt kotwy </w:t>
      </w:r>
      <w:r w:rsidR="00522B80">
        <w:t xml:space="preserve">np. </w:t>
      </w:r>
      <w:r>
        <w:t>HIT-HY 170</w:t>
      </w:r>
      <w:r w:rsidR="00522B80">
        <w:t xml:space="preserve"> </w:t>
      </w:r>
      <w:r>
        <w:t xml:space="preserve">INJECTION MORTAR + HAS-U 8.8 HDG M10 </w:t>
      </w:r>
      <w:r w:rsidR="00522B80" w:rsidRPr="00522B80">
        <w:t>lub inn</w:t>
      </w:r>
      <w:r w:rsidR="00325886">
        <w:t>ej</w:t>
      </w:r>
      <w:r w:rsidR="00522B80" w:rsidRPr="00522B80">
        <w:t xml:space="preserve"> co najmniej tej samej jakości </w:t>
      </w:r>
      <w:r>
        <w:t xml:space="preserve">na każdym płaskowniku w odstępach od 1,0 – 1,5 m. Płaskowniki powinny przylegać do izolacji przeciwwilgociowej muru fundamentowego na całej ich długości i szerokości. Nierówności bitumicznej izolacji przeciwwilgociowej należy likwidować stosując klej bitumiczny </w:t>
      </w:r>
      <w:proofErr w:type="spellStart"/>
      <w:r>
        <w:t>Enkolit</w:t>
      </w:r>
      <w:proofErr w:type="spellEnd"/>
      <w:r>
        <w:t xml:space="preserve"> </w:t>
      </w:r>
      <w:r w:rsidR="00FF037F" w:rsidRPr="00FF037F">
        <w:t>lub innym co najmniej tej samej jakości</w:t>
      </w:r>
      <w:r>
        <w:t>.</w:t>
      </w:r>
    </w:p>
    <w:p w14:paraId="53C429F4" w14:textId="7F42D58C" w:rsidR="00AA35D9" w:rsidRDefault="00AA35D9" w:rsidP="00AA35D9">
      <w:r>
        <w:t>- Elewacja północno-wschodnia</w:t>
      </w:r>
      <w:r w:rsidR="0099791A">
        <w:t xml:space="preserve"> </w:t>
      </w:r>
      <w:r w:rsidR="0099791A" w:rsidRPr="0099791A">
        <w:t>(bez uwzględnienia pomieszczenia garażu)</w:t>
      </w:r>
    </w:p>
    <w:p w14:paraId="278A5BFF" w14:textId="1280AD98" w:rsidR="00AA35D9" w:rsidRDefault="00AA35D9" w:rsidP="00812CF2">
      <w:pPr>
        <w:jc w:val="both"/>
      </w:pPr>
      <w:r>
        <w:t xml:space="preserve">Montaż płaskowników, przerwy połączeń płaskowników realizować na słupie żelbetowym za pomocą dwóch kotew </w:t>
      </w:r>
      <w:r w:rsidR="00522B80">
        <w:t xml:space="preserve">np. </w:t>
      </w:r>
      <w:r>
        <w:t xml:space="preserve">HIT-RE 500 V4 + HAS-U 8.8 HDG M10 </w:t>
      </w:r>
      <w:r w:rsidR="00522B80" w:rsidRPr="00522B80">
        <w:t xml:space="preserve">lub innym co najmniej tej samej jakości </w:t>
      </w:r>
      <w:r>
        <w:t>z jednej i drugiej strony połączenia, razem 4 kotwy</w:t>
      </w:r>
      <w:r w:rsidR="00522B80">
        <w:t xml:space="preserve"> x 3 słupy</w:t>
      </w:r>
      <w:r>
        <w:t xml:space="preserve">. Miejsca połączeń spawanych zabezpieczyć dodatkowo klejem bitumicznym </w:t>
      </w:r>
      <w:r w:rsidR="00522B80">
        <w:t xml:space="preserve">np. </w:t>
      </w:r>
      <w:proofErr w:type="spellStart"/>
      <w:r>
        <w:t>Enkolit</w:t>
      </w:r>
      <w:proofErr w:type="spellEnd"/>
      <w:r w:rsidR="00522B80">
        <w:t xml:space="preserve"> </w:t>
      </w:r>
      <w:r w:rsidR="00522B80" w:rsidRPr="00522B80">
        <w:t>lub innym co najmniej tej samej jakości</w:t>
      </w:r>
      <w:r>
        <w:t>.</w:t>
      </w:r>
    </w:p>
    <w:p w14:paraId="21CED731" w14:textId="67BAB4F5" w:rsidR="00AA35D9" w:rsidRDefault="00AA35D9" w:rsidP="00812CF2">
      <w:pPr>
        <w:jc w:val="both"/>
      </w:pPr>
      <w:r>
        <w:t xml:space="preserve">Płaskowniki kotwić do bloczków fundamentowych za pomocą 1szt kotwy </w:t>
      </w:r>
      <w:r w:rsidR="00522B80">
        <w:t xml:space="preserve">np. </w:t>
      </w:r>
      <w:r>
        <w:t>HIT-HY 170</w:t>
      </w:r>
      <w:r w:rsidR="00522B80">
        <w:t xml:space="preserve"> </w:t>
      </w:r>
      <w:r>
        <w:t xml:space="preserve">INJECTION MORTAR + HAS-U 8.8 HDG M10 </w:t>
      </w:r>
      <w:r w:rsidR="00522B80" w:rsidRPr="00522B80">
        <w:t xml:space="preserve">lub innym co najmniej tej samej jakości </w:t>
      </w:r>
      <w:r>
        <w:t xml:space="preserve">na każdym płaskowniku </w:t>
      </w:r>
      <w:r w:rsidR="00812CF2">
        <w:t xml:space="preserve">              </w:t>
      </w:r>
      <w:r>
        <w:t xml:space="preserve">w odstępach od 1,0 – 1,5 m. Płaskowniki powinny przylegać do izolacji przeciwwilgociowej muru fundamentowego na całej ich długości i szerokości. Nierówności bitumicznej izolacji przeciwwilgociowej należy likwidować stosując klej bitumiczny </w:t>
      </w:r>
      <w:r w:rsidR="00522B80">
        <w:t xml:space="preserve">np. </w:t>
      </w:r>
      <w:proofErr w:type="spellStart"/>
      <w:r>
        <w:t>Enkolit</w:t>
      </w:r>
      <w:proofErr w:type="spellEnd"/>
      <w:r>
        <w:t xml:space="preserve"> </w:t>
      </w:r>
      <w:r w:rsidR="00522B80" w:rsidRPr="00522B80">
        <w:t>lub innym co najmniej tej samej jakości</w:t>
      </w:r>
      <w:r>
        <w:t>.</w:t>
      </w:r>
    </w:p>
    <w:p w14:paraId="172232DF" w14:textId="77777777" w:rsidR="00AA35D9" w:rsidRDefault="00AA35D9" w:rsidP="00AA35D9">
      <w:r>
        <w:t>- Elewacja południowo-wschodnia</w:t>
      </w:r>
    </w:p>
    <w:p w14:paraId="160644BE" w14:textId="11043AE6" w:rsidR="00AA35D9" w:rsidRDefault="00AA35D9" w:rsidP="009D34EA">
      <w:pPr>
        <w:jc w:val="both"/>
      </w:pPr>
      <w:r>
        <w:t xml:space="preserve">Montaż płaskowników do kątownika stalowego wpuszczonego w mur poprzez spaw ciągły długości 100 mm dwustronny, spoina spawu o grubości 7 mm, przerwy połączeń płaskowników realizować na </w:t>
      </w:r>
      <w:r w:rsidR="00522B80">
        <w:t>czter</w:t>
      </w:r>
      <w:r>
        <w:t xml:space="preserve">ech słupach żelbetowych za pomocą dwóch kotew </w:t>
      </w:r>
      <w:r w:rsidR="0099791A">
        <w:t xml:space="preserve">np. </w:t>
      </w:r>
      <w:r>
        <w:t>HIT-RE 500 V4 + HAS-U 8.8 HDG M10</w:t>
      </w:r>
      <w:r w:rsidR="0099791A">
        <w:t xml:space="preserve"> </w:t>
      </w:r>
      <w:r w:rsidR="0099791A" w:rsidRPr="0099791A">
        <w:t>lub innym co najmniej tej samej jakości</w:t>
      </w:r>
      <w:r>
        <w:t xml:space="preserve"> z jednej strony połączenia, razem 4 kotwy</w:t>
      </w:r>
      <w:r w:rsidR="00522B80">
        <w:t xml:space="preserve"> x 4 słupy</w:t>
      </w:r>
      <w:r>
        <w:t>. Miejsca połączeń spawanych zabezpieczyć dodatkowo klejem bitumicznym</w:t>
      </w:r>
      <w:r w:rsidR="00522B80">
        <w:t xml:space="preserve"> np.</w:t>
      </w:r>
      <w:r>
        <w:t xml:space="preserve"> </w:t>
      </w:r>
      <w:proofErr w:type="spellStart"/>
      <w:r>
        <w:t>Enkolit</w:t>
      </w:r>
      <w:proofErr w:type="spellEnd"/>
      <w:r w:rsidR="00522B80">
        <w:t xml:space="preserve"> </w:t>
      </w:r>
      <w:r w:rsidR="00522B80" w:rsidRPr="00522B80">
        <w:t>lub innym co najmniej tej samej jakości</w:t>
      </w:r>
      <w:r w:rsidR="00522B80">
        <w:t>.</w:t>
      </w:r>
    </w:p>
    <w:p w14:paraId="5D55B74C" w14:textId="758DF053" w:rsidR="00AA35D9" w:rsidRDefault="00AA35D9" w:rsidP="009D34EA">
      <w:pPr>
        <w:jc w:val="both"/>
      </w:pPr>
      <w:r>
        <w:t xml:space="preserve">Płaskowniki kotwić do bloczków fundamentowych za pomocą 1szt kotwy </w:t>
      </w:r>
      <w:r w:rsidR="0099791A">
        <w:t xml:space="preserve">np. </w:t>
      </w:r>
      <w:r>
        <w:t>HIT-HY 170</w:t>
      </w:r>
      <w:r w:rsidR="0099791A">
        <w:t xml:space="preserve"> </w:t>
      </w:r>
      <w:r>
        <w:t xml:space="preserve">INJECTION MORTAR + HAS-U 8.8 HDG M10 </w:t>
      </w:r>
      <w:r w:rsidR="0099791A" w:rsidRPr="0099791A">
        <w:t xml:space="preserve">lub innym co najmniej tej samej jakości </w:t>
      </w:r>
      <w:r>
        <w:t xml:space="preserve">na każdym płaskowniku w </w:t>
      </w:r>
      <w:r>
        <w:lastRenderedPageBreak/>
        <w:t>odstępach od 1,0 – 1,5 m. Płaskowniki powinny przylegać do izolacji przeciwwilgociowej muru</w:t>
      </w:r>
      <w:r w:rsidR="00522B80">
        <w:t xml:space="preserve"> </w:t>
      </w:r>
      <w:r>
        <w:t xml:space="preserve">fundamentowego na całej ich długości i szerokości. Nierówności bitumicznej izolacji przeciwwilgociowej należy likwidować stosując klej bitumiczny </w:t>
      </w:r>
      <w:r w:rsidR="00522B80">
        <w:t xml:space="preserve">np. </w:t>
      </w:r>
      <w:proofErr w:type="spellStart"/>
      <w:r>
        <w:t>Enkolit</w:t>
      </w:r>
      <w:proofErr w:type="spellEnd"/>
      <w:r>
        <w:t xml:space="preserve"> </w:t>
      </w:r>
      <w:r w:rsidR="00522B80" w:rsidRPr="00522B80">
        <w:t>lub innym co najmniej tej samej jakości</w:t>
      </w:r>
      <w:r>
        <w:t>.</w:t>
      </w:r>
    </w:p>
    <w:p w14:paraId="3C65CB68" w14:textId="21F4C5C2" w:rsidR="00AA35D9" w:rsidRDefault="00AA35D9" w:rsidP="00AA35D9">
      <w:r>
        <w:t xml:space="preserve">- Elewacja południowo-zachodnia </w:t>
      </w:r>
    </w:p>
    <w:p w14:paraId="45D7C69B" w14:textId="6A5CD20E" w:rsidR="00B90A17" w:rsidRDefault="00B90A17" w:rsidP="009D34EA">
      <w:pPr>
        <w:jc w:val="both"/>
      </w:pPr>
      <w:r>
        <w:t xml:space="preserve">Montaż płaskowników do kątowników stalowych wpuszczonych w mur poprzez spaw ciągły długości 100 mm dwustronny, spoina spawu o grubości 7 mm, przerwy połączeń płaskowników realizować na słupie żelbetowym za pomocą dwóch kotew np. HIT-RE 500 V4 + HAS-U 8.8 HDG M10 lub innym co najmniej tej samej jakości z jednej strony połączenia, razem 4 kotwy x 1 słup. Miejsca połączeń spawanych zabezpieczyć dodatkowo np. klejem bitumicznym </w:t>
      </w:r>
      <w:proofErr w:type="spellStart"/>
      <w:r>
        <w:t>Enkolit</w:t>
      </w:r>
      <w:proofErr w:type="spellEnd"/>
      <w:r>
        <w:t xml:space="preserve"> lub innym co najmniej tej samej jakości.</w:t>
      </w:r>
    </w:p>
    <w:p w14:paraId="3342EC81" w14:textId="304D10A1" w:rsidR="00AA35D9" w:rsidRDefault="00B90A17" w:rsidP="009D34EA">
      <w:pPr>
        <w:jc w:val="both"/>
      </w:pPr>
      <w:r>
        <w:t>Płaskowniki kotwić do bloczków fundamentowych za pomocą 1szt kotwy np. HIT-HY 170 INJECTION MORTAR + HAS-U 8.8 HDG M10 lub inn</w:t>
      </w:r>
      <w:r w:rsidR="0028586B">
        <w:t>ej</w:t>
      </w:r>
      <w:r>
        <w:t xml:space="preserve"> co najmniej tej samej jakości na każdym płaskowniku </w:t>
      </w:r>
      <w:r w:rsidR="009D34EA">
        <w:t xml:space="preserve">                 </w:t>
      </w:r>
      <w:r>
        <w:t xml:space="preserve">w odstępach od 1,0 – 1,5 m. Płaskowniki powinny przylegać do izolacji przeciwwilgociowej muru fundamentowego na całej ich długości i szerokości. Nierówności bitumicznej izolacji przeciwwilgociowej należy likwidować stosując klej bitumiczny </w:t>
      </w:r>
      <w:r w:rsidR="0028586B">
        <w:t xml:space="preserve">np. </w:t>
      </w:r>
      <w:proofErr w:type="spellStart"/>
      <w:r>
        <w:t>Enkolit</w:t>
      </w:r>
      <w:proofErr w:type="spellEnd"/>
      <w:r>
        <w:t xml:space="preserve"> lub innym </w:t>
      </w:r>
      <w:bookmarkStart w:id="2" w:name="_Hlk194486625"/>
      <w:r>
        <w:t>co najmniej tej samej jakości</w:t>
      </w:r>
      <w:bookmarkEnd w:id="2"/>
      <w:r>
        <w:t>.</w:t>
      </w:r>
      <w:r w:rsidR="0028586B">
        <w:t xml:space="preserve"> </w:t>
      </w:r>
    </w:p>
    <w:p w14:paraId="573D8ED9" w14:textId="2DBB38A9" w:rsidR="007A6365" w:rsidRPr="007A6365" w:rsidRDefault="00AA35D9" w:rsidP="00AA35D9">
      <w:pPr>
        <w:rPr>
          <w:b/>
          <w:color w:val="FF0000"/>
        </w:rPr>
      </w:pPr>
      <w:r w:rsidRPr="0028586B">
        <w:rPr>
          <w:b/>
          <w:color w:val="FF0000"/>
        </w:rPr>
        <w:t>UWAG</w:t>
      </w:r>
      <w:r w:rsidR="00F146B0">
        <w:rPr>
          <w:b/>
          <w:color w:val="FF0000"/>
        </w:rPr>
        <w:t>I</w:t>
      </w:r>
      <w:r w:rsidR="0028586B">
        <w:rPr>
          <w:b/>
          <w:color w:val="FF0000"/>
        </w:rPr>
        <w:t xml:space="preserve"> ! </w:t>
      </w:r>
      <w:r w:rsidRPr="0028586B">
        <w:rPr>
          <w:b/>
          <w:color w:val="FF0000"/>
        </w:rPr>
        <w:t>:</w:t>
      </w:r>
    </w:p>
    <w:p w14:paraId="796B01F0" w14:textId="1DD0CD58" w:rsidR="00AA35D9" w:rsidRDefault="00AA35D9" w:rsidP="00AA35D9">
      <w:r>
        <w:t>- Minimalna odległość mocowania kotew od brzegu słupa żelbetowego wynosi 50mm.</w:t>
      </w:r>
    </w:p>
    <w:p w14:paraId="6E626057" w14:textId="78B49918" w:rsidR="007A6365" w:rsidRDefault="007A6365" w:rsidP="00AA35D9">
      <w:r>
        <w:t xml:space="preserve">- Płaskowniki pokryć </w:t>
      </w:r>
      <w:proofErr w:type="spellStart"/>
      <w:r>
        <w:t>ocynkiem</w:t>
      </w:r>
      <w:proofErr w:type="spellEnd"/>
      <w:r>
        <w:t xml:space="preserve"> o trwałości powłoki zabezpieczającej </w:t>
      </w:r>
      <w:r w:rsidR="000E5A68">
        <w:t xml:space="preserve">wynoszącej </w:t>
      </w:r>
      <w:r>
        <w:t>co najmniej 30 lat.</w:t>
      </w:r>
    </w:p>
    <w:p w14:paraId="178A1C49" w14:textId="18CF8F8D" w:rsidR="007A6365" w:rsidRDefault="007A6365" w:rsidP="00AA35D9">
      <w:r>
        <w:t>- Wszystkie cięcia i otwory w płaskownikach przed montażem należy zabezpieczyć antykorozyjnie.</w:t>
      </w:r>
    </w:p>
    <w:p w14:paraId="19364ACD" w14:textId="77777777" w:rsidR="00AA35D9" w:rsidRDefault="00AA35D9" w:rsidP="00AA35D9">
      <w:r>
        <w:t>- Średnica otworów w płaskownikach powinna wynosić 12 mm.</w:t>
      </w:r>
    </w:p>
    <w:p w14:paraId="52E062A1" w14:textId="32770111" w:rsidR="00AA35D9" w:rsidRDefault="00AA35D9" w:rsidP="00F03096">
      <w:pPr>
        <w:jc w:val="both"/>
      </w:pPr>
      <w:r>
        <w:t xml:space="preserve">- </w:t>
      </w:r>
      <w:r w:rsidR="00EF351D">
        <w:t xml:space="preserve">kotwy np. </w:t>
      </w:r>
      <w:r>
        <w:t>HIT-HY 170 INJECTION MORTAR + HAS-U 8.8 HDG M10</w:t>
      </w:r>
      <w:r w:rsidR="00EF351D" w:rsidRPr="00EF351D">
        <w:t xml:space="preserve"> lub inn</w:t>
      </w:r>
      <w:r w:rsidR="00EF351D">
        <w:t>e</w:t>
      </w:r>
      <w:r w:rsidR="00EF351D" w:rsidRPr="00EF351D">
        <w:t xml:space="preserve"> co najmniej tej samej jakości</w:t>
      </w:r>
      <w:r w:rsidR="00EF351D">
        <w:t xml:space="preserve"> </w:t>
      </w:r>
      <w:r>
        <w:t xml:space="preserve"> nie powinny być kotwione do spoin między bloczkami, a do bloczków betonowych !!!</w:t>
      </w:r>
    </w:p>
    <w:p w14:paraId="05349142" w14:textId="0C446CC0" w:rsidR="00AA35D9" w:rsidRDefault="00AA35D9" w:rsidP="00F03096">
      <w:pPr>
        <w:jc w:val="both"/>
      </w:pPr>
      <w:r>
        <w:t xml:space="preserve">- Jeżeli w betonie występują luki przestrzenne należy zastosować tuleję kotwy HIT-S firmy </w:t>
      </w:r>
      <w:proofErr w:type="spellStart"/>
      <w:r>
        <w:t>Hilti</w:t>
      </w:r>
      <w:proofErr w:type="spellEnd"/>
      <w:r w:rsidR="002F2453">
        <w:t xml:space="preserve"> </w:t>
      </w:r>
      <w:bookmarkStart w:id="3" w:name="_Hlk194487304"/>
      <w:r w:rsidR="002F2453">
        <w:t xml:space="preserve">lub inną </w:t>
      </w:r>
      <w:r w:rsidR="002F2453" w:rsidRPr="002F2453">
        <w:t>co najmniej tej samej jakości</w:t>
      </w:r>
      <w:r w:rsidR="002F2453">
        <w:t xml:space="preserve"> </w:t>
      </w:r>
      <w:bookmarkEnd w:id="3"/>
      <w:r>
        <w:t xml:space="preserve"> (rys. 4).</w:t>
      </w:r>
    </w:p>
    <w:p w14:paraId="4CB5517D" w14:textId="154F4B2A" w:rsidR="00AA35D9" w:rsidRDefault="00AA35D9" w:rsidP="00F03096">
      <w:pPr>
        <w:jc w:val="both"/>
      </w:pPr>
      <w:r>
        <w:t xml:space="preserve">- Przed montażem należy zastosować się do wszystkich wskazań producenta kotew, między innymi nawiercone otwory </w:t>
      </w:r>
      <w:r w:rsidR="0028586B">
        <w:t xml:space="preserve">(otwory zaleca się wykonywać techniką wiercenia </w:t>
      </w:r>
      <w:proofErr w:type="spellStart"/>
      <w:r w:rsidR="0028586B">
        <w:t>bezudarową</w:t>
      </w:r>
      <w:proofErr w:type="spellEnd"/>
      <w:r w:rsidR="0028586B">
        <w:t xml:space="preserve"> - wiertnicą </w:t>
      </w:r>
      <w:r w:rsidR="00F03096">
        <w:t xml:space="preserve">                   </w:t>
      </w:r>
      <w:r w:rsidR="0028586B">
        <w:t xml:space="preserve">z koronką diamentową) </w:t>
      </w:r>
      <w:r>
        <w:t>należy dokładnie oczyścić prze</w:t>
      </w:r>
      <w:r w:rsidR="0028586B">
        <w:t>d</w:t>
      </w:r>
      <w:r>
        <w:t xml:space="preserve"> aplikacją chemii</w:t>
      </w:r>
      <w:r w:rsidR="0028586B">
        <w:t>, wyciorem i pompką do wydmuchiwania</w:t>
      </w:r>
      <w:r>
        <w:t>.</w:t>
      </w:r>
      <w:r w:rsidR="00CD7AB2">
        <w:t xml:space="preserve"> </w:t>
      </w:r>
    </w:p>
    <w:p w14:paraId="0ED9155E" w14:textId="0458F868" w:rsidR="00CD7AB2" w:rsidRPr="00CD7AB2" w:rsidRDefault="00CD7AB2" w:rsidP="00BC00E4">
      <w:pPr>
        <w:jc w:val="both"/>
        <w:rPr>
          <w:b/>
          <w:color w:val="FF0000"/>
        </w:rPr>
      </w:pPr>
      <w:r w:rsidRPr="00CD7AB2">
        <w:rPr>
          <w:b/>
          <w:color w:val="FF0000"/>
        </w:rPr>
        <w:t xml:space="preserve">UWAGA! </w:t>
      </w:r>
      <w:r>
        <w:rPr>
          <w:b/>
          <w:color w:val="FF0000"/>
        </w:rPr>
        <w:t>O</w:t>
      </w:r>
      <w:r w:rsidRPr="00CD7AB2">
        <w:rPr>
          <w:b/>
          <w:color w:val="FF0000"/>
        </w:rPr>
        <w:t xml:space="preserve">twory zaleca się wykonywać techniką wiercenia </w:t>
      </w:r>
      <w:proofErr w:type="spellStart"/>
      <w:r w:rsidRPr="00CD7AB2">
        <w:rPr>
          <w:b/>
          <w:color w:val="FF0000"/>
        </w:rPr>
        <w:t>bezudarową</w:t>
      </w:r>
      <w:proofErr w:type="spellEnd"/>
      <w:r w:rsidRPr="00CD7AB2">
        <w:rPr>
          <w:b/>
          <w:color w:val="FF0000"/>
        </w:rPr>
        <w:t xml:space="preserve"> - wiertnicą z koronką diamentową</w:t>
      </w:r>
      <w:r>
        <w:rPr>
          <w:b/>
          <w:color w:val="FF0000"/>
        </w:rPr>
        <w:t>.</w:t>
      </w:r>
    </w:p>
    <w:p w14:paraId="2E18E8EE" w14:textId="39292B3E" w:rsidR="00AA35D9" w:rsidRDefault="00AA35D9" w:rsidP="00C13385">
      <w:pPr>
        <w:jc w:val="both"/>
      </w:pPr>
      <w:r>
        <w:t xml:space="preserve">Gdy występuje konieczność wzdłużnego połączenia płaskowników należy to zrealizować poprzez nakładki. Należy zastosować nakładkę spawaną </w:t>
      </w:r>
      <w:r w:rsidR="0028586B">
        <w:t>z kątownika</w:t>
      </w:r>
      <w:r>
        <w:t xml:space="preserve"> o długości 300 mm, szerokości 60x</w:t>
      </w:r>
      <w:r w:rsidR="0028586B">
        <w:t xml:space="preserve">60 mm grubości </w:t>
      </w:r>
      <w:r>
        <w:t xml:space="preserve">10 mm. Połączenia płaskowników realizować poprzez ciągły spaw czołowy plus ciągły spaw na nakładce z czterech stron nakładki stalowej. Miejsca spawów zabezpieczyć dwukrotnie farbami antykorozyjnymi do metalu. Dodatkowo miejsca połączeń zabezpieczyć klejem bitumicznym </w:t>
      </w:r>
      <w:r w:rsidR="0028586B">
        <w:t xml:space="preserve">np. </w:t>
      </w:r>
      <w:proofErr w:type="spellStart"/>
      <w:r>
        <w:t>Enkolit</w:t>
      </w:r>
      <w:proofErr w:type="spellEnd"/>
      <w:r w:rsidR="0028586B">
        <w:t xml:space="preserve"> lub innym co najmniej tej samej jakości.</w:t>
      </w:r>
    </w:p>
    <w:p w14:paraId="0CACB527" w14:textId="34509CED" w:rsidR="00AA35D9" w:rsidRDefault="00AA35D9" w:rsidP="00C13385">
      <w:pPr>
        <w:jc w:val="both"/>
      </w:pPr>
      <w:r>
        <w:lastRenderedPageBreak/>
        <w:t>Rys. 3. Schemat pokazujący miejsce zamontowania płaskowników (zaznaczone na czerwono), stanowiących wieniec zastępczy wraz z opisem (na czerwono) stanu istniejącego detalu muru fundamentowego</w:t>
      </w:r>
      <w:r w:rsidR="00C13385">
        <w:t>.</w:t>
      </w:r>
    </w:p>
    <w:p w14:paraId="24BBD953" w14:textId="3468C336" w:rsidR="00AA35D9" w:rsidRDefault="00AA35D9" w:rsidP="00AA35D9">
      <w:r>
        <w:t xml:space="preserve">Rys. 4. </w:t>
      </w:r>
      <w:r w:rsidR="00C931EF">
        <w:t>Przykładowa s</w:t>
      </w:r>
      <w:r>
        <w:t xml:space="preserve">iatkowa tuleja kotwy </w:t>
      </w:r>
      <w:r w:rsidR="002F2453">
        <w:t xml:space="preserve">np. </w:t>
      </w:r>
      <w:r>
        <w:t>HIT-S wraz ze sposobem montażu.</w:t>
      </w:r>
    </w:p>
    <w:p w14:paraId="3215B81F" w14:textId="237BF778" w:rsidR="00600E10" w:rsidRPr="00A763EB" w:rsidRDefault="00A763EB" w:rsidP="00C13385">
      <w:pPr>
        <w:jc w:val="both"/>
        <w:rPr>
          <w:b/>
          <w:color w:val="FF0000"/>
        </w:rPr>
      </w:pPr>
      <w:r w:rsidRPr="00A763EB">
        <w:rPr>
          <w:b/>
          <w:color w:val="FF0000"/>
        </w:rPr>
        <w:t xml:space="preserve">UWAGA! </w:t>
      </w:r>
      <w:r>
        <w:rPr>
          <w:b/>
          <w:color w:val="FF0000"/>
        </w:rPr>
        <w:t xml:space="preserve">Zawsze po wykonaniu warstwy z kleju bitumicznego np. </w:t>
      </w:r>
      <w:proofErr w:type="spellStart"/>
      <w:r>
        <w:rPr>
          <w:b/>
          <w:color w:val="FF0000"/>
        </w:rPr>
        <w:t>Enkolit</w:t>
      </w:r>
      <w:proofErr w:type="spellEnd"/>
      <w:r>
        <w:rPr>
          <w:b/>
          <w:color w:val="FF0000"/>
        </w:rPr>
        <w:t xml:space="preserve"> należy wykonać warstwę odcinającą np. wyrobem </w:t>
      </w:r>
      <w:proofErr w:type="spellStart"/>
      <w:r w:rsidRPr="00A763EB">
        <w:rPr>
          <w:b/>
          <w:color w:val="FF0000"/>
        </w:rPr>
        <w:t>Enke</w:t>
      </w:r>
      <w:proofErr w:type="spellEnd"/>
      <w:r w:rsidRPr="00A763EB">
        <w:rPr>
          <w:b/>
          <w:color w:val="FF0000"/>
        </w:rPr>
        <w:t xml:space="preserve"> </w:t>
      </w:r>
      <w:proofErr w:type="spellStart"/>
      <w:r w:rsidRPr="00A763EB">
        <w:rPr>
          <w:b/>
          <w:color w:val="FF0000"/>
        </w:rPr>
        <w:t>Betoncoat</w:t>
      </w:r>
      <w:proofErr w:type="spellEnd"/>
      <w:r w:rsidRPr="00A763EB">
        <w:rPr>
          <w:b/>
          <w:color w:val="FF0000"/>
        </w:rPr>
        <w:t xml:space="preserve"> </w:t>
      </w:r>
      <w:proofErr w:type="spellStart"/>
      <w:r w:rsidRPr="00A763EB">
        <w:rPr>
          <w:b/>
          <w:color w:val="FF0000"/>
        </w:rPr>
        <w:t>Grundierung</w:t>
      </w:r>
      <w:proofErr w:type="spellEnd"/>
      <w:r w:rsidRPr="00A763EB">
        <w:rPr>
          <w:b/>
          <w:color w:val="FF0000"/>
        </w:rPr>
        <w:t xml:space="preserve"> 2K lub innym co najmniej tej samej jakości.</w:t>
      </w:r>
    </w:p>
    <w:p w14:paraId="1D2DBE86" w14:textId="034197B0" w:rsidR="00AA35D9" w:rsidRDefault="00AA35D9" w:rsidP="00F146B0">
      <w:pPr>
        <w:pStyle w:val="Akapitzlist"/>
        <w:numPr>
          <w:ilvl w:val="0"/>
          <w:numId w:val="1"/>
        </w:numPr>
        <w:jc w:val="both"/>
      </w:pPr>
      <w:r>
        <w:t>).</w:t>
      </w:r>
      <w:r w:rsidR="00F146B0" w:rsidRPr="00F146B0">
        <w:t xml:space="preserve"> </w:t>
      </w:r>
      <w:r w:rsidR="00F146B0">
        <w:t xml:space="preserve">Wieniec jest niezbędnym elementem na wjeździe do garażu i należy go wykonać zgodnie         z projektem - Detal progu garażowego rys. A 16 – przekrój 1:5 i przekrój 1:10. </w:t>
      </w:r>
      <w:r>
        <w:t>Aby zrealizować to zamierzenie należy zdjąć niezbędną warstwę bloczków fundamentowych zgodnie z rzędnymi wysokości jak na rys. A 16 – przekrój 1:10 z projektu</w:t>
      </w:r>
      <w:r w:rsidR="00AA5F82">
        <w:t xml:space="preserve"> wykonawczego architektury</w:t>
      </w:r>
      <w:r>
        <w:t xml:space="preserve"> i wykonać zakotwienie wieńca żelbetowego WF 1 do istniejących słupów żelbetowych na wjeździe do garażu stosując pręty żebrowane 4#12 o długości 75 cm z każdej strony wieńca (razem 8#12). </w:t>
      </w:r>
      <w:proofErr w:type="spellStart"/>
      <w:r>
        <w:t>Kotwienie</w:t>
      </w:r>
      <w:proofErr w:type="spellEnd"/>
      <w:r>
        <w:t xml:space="preserve"> wykonać przy użyciu kotew chemicznych typu</w:t>
      </w:r>
      <w:r w:rsidR="00F146B0">
        <w:t xml:space="preserve"> np.</w:t>
      </w:r>
      <w:r>
        <w:t xml:space="preserve"> HIT-RE 500 V4</w:t>
      </w:r>
      <w:r w:rsidR="00F146B0" w:rsidRPr="00F146B0">
        <w:t xml:space="preserve"> lub inn</w:t>
      </w:r>
      <w:r w:rsidR="00F146B0">
        <w:t>ych</w:t>
      </w:r>
      <w:r w:rsidR="00F146B0" w:rsidRPr="00F146B0">
        <w:t xml:space="preserve"> co najmniej tej samej jakości</w:t>
      </w:r>
      <w:r w:rsidR="00F146B0">
        <w:t xml:space="preserve"> </w:t>
      </w:r>
      <w:r>
        <w:t xml:space="preserve">, wcześniej wykonując </w:t>
      </w:r>
      <w:proofErr w:type="spellStart"/>
      <w:r>
        <w:t>nawierty</w:t>
      </w:r>
      <w:proofErr w:type="spellEnd"/>
      <w:r>
        <w:t xml:space="preserve"> w słupie żelbetowym o średnicy 14 mm. Długość </w:t>
      </w:r>
      <w:proofErr w:type="spellStart"/>
      <w:r>
        <w:t>nawiertów</w:t>
      </w:r>
      <w:proofErr w:type="spellEnd"/>
      <w:r>
        <w:t xml:space="preserve"> w słupach 160 mm.</w:t>
      </w:r>
      <w:r w:rsidR="00F146B0">
        <w:t xml:space="preserve"> Otwory należy oczyścić wyciorem i wydmuchiwaniem.</w:t>
      </w:r>
    </w:p>
    <w:p w14:paraId="45B310FE" w14:textId="26C38D52" w:rsidR="00AA35D9" w:rsidRDefault="00AA35D9" w:rsidP="00AA35D9">
      <w:pPr>
        <w:pStyle w:val="Akapitzlist"/>
        <w:numPr>
          <w:ilvl w:val="0"/>
          <w:numId w:val="1"/>
        </w:numPr>
        <w:jc w:val="both"/>
      </w:pPr>
      <w:r>
        <w:t>Ściany działowe przedsionka ppoż. nr 12 powinny być oddzielone materiałami w klasie odporności ogniowej EI60. Dotyczy to również piany poliuretanowej, która oddziela przedsionek ppoż. nr 12 od pozostałych pomieszczeń. Ściana garażowa od strony pokoju biurowego nie stanowi oddzielenia ppoż.</w:t>
      </w:r>
      <w:r w:rsidR="00F146B0">
        <w:t xml:space="preserve"> </w:t>
      </w:r>
      <w:r>
        <w:t xml:space="preserve">Zastosowana piana poliuretanowa w kolorze żółtym wskazuje na zastosowanie standardowej piany rozprężnej. </w:t>
      </w:r>
      <w:r w:rsidR="00F146B0">
        <w:t>Należy</w:t>
      </w:r>
      <w:r>
        <w:t xml:space="preserve"> na połączeniu stropu i ściany wokół przedsionka ppoż. nr 12 zastosować pianę ppoż. o klasie odporności ogniowej mini. EI60, a istniejącą pianę rozprężną usunąć całkowicie.</w:t>
      </w:r>
    </w:p>
    <w:p w14:paraId="104B9942" w14:textId="492B4379" w:rsidR="00DB5A40" w:rsidRDefault="00DB5A40" w:rsidP="00AA35D9">
      <w:pPr>
        <w:pStyle w:val="Akapitzlist"/>
        <w:numPr>
          <w:ilvl w:val="0"/>
          <w:numId w:val="1"/>
        </w:numPr>
        <w:jc w:val="both"/>
      </w:pPr>
      <w:r>
        <w:t xml:space="preserve">Należy wykonać od strony przedsionka ppoż. okładzinę ogniochronną np. </w:t>
      </w:r>
      <w:r w:rsidR="00975032" w:rsidRPr="00975032">
        <w:t xml:space="preserve">w systemie </w:t>
      </w:r>
      <w:proofErr w:type="spellStart"/>
      <w:r w:rsidR="00975032" w:rsidRPr="00975032">
        <w:t>Knauf</w:t>
      </w:r>
      <w:proofErr w:type="spellEnd"/>
      <w:r w:rsidR="00975032" w:rsidRPr="00975032">
        <w:t xml:space="preserve"> FIREBOARD K253 </w:t>
      </w:r>
      <w:r w:rsidR="00975032">
        <w:t>lub innej firmy o co najmniej tej samej jakości.</w:t>
      </w:r>
      <w:r w:rsidR="00975032" w:rsidRPr="00975032">
        <w:t xml:space="preserve">  Okładzina ogniochronna komina wentylacyjnego.</w:t>
      </w:r>
    </w:p>
    <w:p w14:paraId="1BC86528" w14:textId="088CC9AA" w:rsidR="00975032" w:rsidRDefault="00975032" w:rsidP="00AA35D9">
      <w:pPr>
        <w:pStyle w:val="Akapitzlist"/>
        <w:numPr>
          <w:ilvl w:val="0"/>
          <w:numId w:val="1"/>
        </w:numPr>
        <w:jc w:val="both"/>
      </w:pPr>
      <w:r>
        <w:t>Należy zamontować kratkę wentylacyjną w klasie EI60 od strony przedsionka ppoż.</w:t>
      </w:r>
    </w:p>
    <w:p w14:paraId="1C214724" w14:textId="4C246D82" w:rsidR="005A3D4A" w:rsidRDefault="005A3D4A" w:rsidP="00AA35D9">
      <w:pPr>
        <w:pStyle w:val="Akapitzlist"/>
        <w:numPr>
          <w:ilvl w:val="0"/>
          <w:numId w:val="1"/>
        </w:numPr>
        <w:jc w:val="both"/>
      </w:pPr>
      <w:r w:rsidRPr="005A3D4A">
        <w:t>Należy wykonać izolację pionową przeciwwilgociową od strony zewnętrznej po wykonaniu wzmocnienia płaskownikami</w:t>
      </w:r>
      <w:r w:rsidR="005864AB">
        <w:t>.</w:t>
      </w:r>
    </w:p>
    <w:p w14:paraId="3B576E50" w14:textId="2C89EA2C" w:rsidR="005A3D4A" w:rsidRDefault="005A3D4A" w:rsidP="005A3D4A">
      <w:pPr>
        <w:pStyle w:val="Akapitzlist"/>
        <w:numPr>
          <w:ilvl w:val="0"/>
          <w:numId w:val="1"/>
        </w:numPr>
      </w:pPr>
      <w:r w:rsidRPr="005A3D4A">
        <w:t xml:space="preserve">Należy wykonać warstwę izolacji termicznej gr. 18 cm ze </w:t>
      </w:r>
      <w:proofErr w:type="spellStart"/>
      <w:r w:rsidRPr="005A3D4A">
        <w:t>styroduru</w:t>
      </w:r>
      <w:proofErr w:type="spellEnd"/>
      <w:r w:rsidRPr="005A3D4A">
        <w:t xml:space="preserve"> XPS o współczynniku ʎ nie wyższym niż 0,33 (W/</w:t>
      </w:r>
      <w:proofErr w:type="spellStart"/>
      <w:r w:rsidRPr="005A3D4A">
        <w:t>mK</w:t>
      </w:r>
      <w:proofErr w:type="spellEnd"/>
      <w:r w:rsidRPr="005A3D4A">
        <w:t>) w strefie cokołu budynku</w:t>
      </w:r>
      <w:r>
        <w:t xml:space="preserve"> zgodnie z </w:t>
      </w:r>
      <w:r w:rsidR="008870F8">
        <w:t>detalami projektu wykonawczego architektury np. A.12, A.14 i A.16.</w:t>
      </w:r>
    </w:p>
    <w:p w14:paraId="41E95A93" w14:textId="2C9B8C81" w:rsidR="005864AB" w:rsidRDefault="005864AB" w:rsidP="005A3D4A">
      <w:pPr>
        <w:pStyle w:val="Akapitzlist"/>
        <w:numPr>
          <w:ilvl w:val="0"/>
          <w:numId w:val="1"/>
        </w:numPr>
      </w:pPr>
      <w:r>
        <w:t xml:space="preserve">Należy wykonać montaż kotew chemicznych pod zamocowanie murłaty z pręta fi 16mm ocynkowanego kl. 8.8 – 12 sztuk. Kotwa chemiczna </w:t>
      </w:r>
      <w:r w:rsidRPr="005864AB">
        <w:t>np. HIT-RE 500 V4 + HAS-U 8.8 HDG M1</w:t>
      </w:r>
      <w:r>
        <w:t>6</w:t>
      </w:r>
      <w:r w:rsidRPr="005864AB">
        <w:t xml:space="preserve"> lub inn</w:t>
      </w:r>
      <w:r>
        <w:t>a</w:t>
      </w:r>
      <w:r w:rsidRPr="005864AB">
        <w:t xml:space="preserve"> co najmniej tej samej jakości</w:t>
      </w:r>
      <w:r>
        <w:t xml:space="preserve">.   </w:t>
      </w:r>
    </w:p>
    <w:p w14:paraId="666A04C8" w14:textId="688C1E9A" w:rsidR="00FB0E55" w:rsidRDefault="00FB0E55" w:rsidP="00FB0E55">
      <w:r w:rsidRPr="00FB0E55">
        <w:rPr>
          <w:noProof/>
        </w:rPr>
        <w:drawing>
          <wp:inline distT="0" distB="0" distL="0" distR="0" wp14:anchorId="18F02049" wp14:editId="091F94FF">
            <wp:extent cx="3206248" cy="1800276"/>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15665" cy="1805564"/>
                    </a:xfrm>
                    <a:prstGeom prst="rect">
                      <a:avLst/>
                    </a:prstGeom>
                    <a:noFill/>
                    <a:ln>
                      <a:noFill/>
                    </a:ln>
                  </pic:spPr>
                </pic:pic>
              </a:graphicData>
            </a:graphic>
          </wp:inline>
        </w:drawing>
      </w:r>
      <w:r>
        <w:t xml:space="preserve">  </w:t>
      </w:r>
      <w:r w:rsidRPr="00FB0E55">
        <w:rPr>
          <w:noProof/>
        </w:rPr>
        <w:drawing>
          <wp:inline distT="0" distB="0" distL="0" distR="0" wp14:anchorId="172D173B" wp14:editId="65116CE9">
            <wp:extent cx="2004364" cy="1119624"/>
            <wp:effectExtent l="0" t="0" r="0" b="444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44746" cy="1142181"/>
                    </a:xfrm>
                    <a:prstGeom prst="rect">
                      <a:avLst/>
                    </a:prstGeom>
                    <a:noFill/>
                    <a:ln>
                      <a:noFill/>
                    </a:ln>
                  </pic:spPr>
                </pic:pic>
              </a:graphicData>
            </a:graphic>
          </wp:inline>
        </w:drawing>
      </w:r>
    </w:p>
    <w:p w14:paraId="627EF2BA" w14:textId="008522DD" w:rsidR="00FB0E55" w:rsidRDefault="00FB0E55" w:rsidP="00FB0E55">
      <w:r>
        <w:lastRenderedPageBreak/>
        <w:t>Zdjęcia nr 10.</w:t>
      </w:r>
    </w:p>
    <w:p w14:paraId="7F6CD797" w14:textId="3965F58D" w:rsidR="00FB0E55" w:rsidRPr="005A3D4A" w:rsidRDefault="00FB0E55" w:rsidP="00FB0E55">
      <w:r w:rsidRPr="00FB0E55">
        <w:rPr>
          <w:noProof/>
        </w:rPr>
        <w:drawing>
          <wp:inline distT="0" distB="0" distL="0" distR="0" wp14:anchorId="003EE79B" wp14:editId="4221FAB3">
            <wp:extent cx="5288889" cy="2969369"/>
            <wp:effectExtent l="0" t="0" r="7620" b="254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08152" cy="2980184"/>
                    </a:xfrm>
                    <a:prstGeom prst="rect">
                      <a:avLst/>
                    </a:prstGeom>
                    <a:noFill/>
                    <a:ln>
                      <a:noFill/>
                    </a:ln>
                  </pic:spPr>
                </pic:pic>
              </a:graphicData>
            </a:graphic>
          </wp:inline>
        </w:drawing>
      </w:r>
    </w:p>
    <w:p w14:paraId="6A7205F5" w14:textId="6966AF54" w:rsidR="005A3D4A" w:rsidRDefault="00FB0E55" w:rsidP="00FB0E55">
      <w:pPr>
        <w:jc w:val="both"/>
      </w:pPr>
      <w:r>
        <w:t>Zdjęcie 11.</w:t>
      </w:r>
    </w:p>
    <w:p w14:paraId="75F71BE9" w14:textId="3028260F" w:rsidR="00FB0E55" w:rsidRDefault="0091181E" w:rsidP="00FB0E55">
      <w:pPr>
        <w:jc w:val="both"/>
      </w:pPr>
      <w:r w:rsidRPr="0091181E">
        <w:rPr>
          <w:noProof/>
        </w:rPr>
        <w:drawing>
          <wp:inline distT="0" distB="0" distL="0" distR="0" wp14:anchorId="7CD0E3A2" wp14:editId="26F8C19B">
            <wp:extent cx="5266944" cy="2957134"/>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8671" cy="2963718"/>
                    </a:xfrm>
                    <a:prstGeom prst="rect">
                      <a:avLst/>
                    </a:prstGeom>
                    <a:noFill/>
                    <a:ln>
                      <a:noFill/>
                    </a:ln>
                  </pic:spPr>
                </pic:pic>
              </a:graphicData>
            </a:graphic>
          </wp:inline>
        </w:drawing>
      </w:r>
    </w:p>
    <w:p w14:paraId="0F8F8356" w14:textId="75B7A4B9" w:rsidR="0091181E" w:rsidRDefault="0091181E" w:rsidP="00FB0E55">
      <w:pPr>
        <w:jc w:val="both"/>
      </w:pPr>
      <w:r>
        <w:t>Zdjęcie 12.</w:t>
      </w:r>
    </w:p>
    <w:p w14:paraId="21374B8A" w14:textId="012C4732" w:rsidR="0091181E" w:rsidRDefault="005E1923" w:rsidP="00FB0E55">
      <w:pPr>
        <w:jc w:val="both"/>
      </w:pPr>
      <w:r w:rsidRPr="005E1923">
        <w:rPr>
          <w:noProof/>
        </w:rPr>
        <w:lastRenderedPageBreak/>
        <w:drawing>
          <wp:inline distT="0" distB="0" distL="0" distR="0" wp14:anchorId="1D0E6426" wp14:editId="4ECF48E5">
            <wp:extent cx="5310835" cy="2900093"/>
            <wp:effectExtent l="0" t="0" r="444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60844" cy="2927402"/>
                    </a:xfrm>
                    <a:prstGeom prst="rect">
                      <a:avLst/>
                    </a:prstGeom>
                    <a:noFill/>
                    <a:ln>
                      <a:noFill/>
                    </a:ln>
                  </pic:spPr>
                </pic:pic>
              </a:graphicData>
            </a:graphic>
          </wp:inline>
        </w:drawing>
      </w:r>
    </w:p>
    <w:p w14:paraId="1AB40004" w14:textId="6F5BD9A2" w:rsidR="005E1923" w:rsidRDefault="00B6686A" w:rsidP="00FB0E55">
      <w:pPr>
        <w:jc w:val="both"/>
      </w:pPr>
      <w:r w:rsidRPr="00B6686A">
        <w:t>Rys. 3. Schemat pokazujący miejsce zamontowania płaskowników (zaznaczone na czerwono), stanowiących wieniec zastępczy wraz z opisem (na czerwono) stanu istniejącego detalu muru fundamentowego</w:t>
      </w:r>
      <w:r w:rsidR="00E35B21">
        <w:t>.</w:t>
      </w:r>
    </w:p>
    <w:p w14:paraId="31B91A08" w14:textId="34A71FF1" w:rsidR="004B1C28" w:rsidRDefault="00325886" w:rsidP="00FB0E55">
      <w:pPr>
        <w:jc w:val="both"/>
      </w:pPr>
      <w:r w:rsidRPr="00325886">
        <w:rPr>
          <w:noProof/>
        </w:rPr>
        <w:drawing>
          <wp:inline distT="0" distB="0" distL="0" distR="0" wp14:anchorId="24EDB7F6" wp14:editId="5BF782A1">
            <wp:extent cx="1594096" cy="643738"/>
            <wp:effectExtent l="0" t="0" r="6350" b="444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25943" cy="656599"/>
                    </a:xfrm>
                    <a:prstGeom prst="rect">
                      <a:avLst/>
                    </a:prstGeom>
                    <a:noFill/>
                    <a:ln>
                      <a:noFill/>
                    </a:ln>
                  </pic:spPr>
                </pic:pic>
              </a:graphicData>
            </a:graphic>
          </wp:inline>
        </w:drawing>
      </w:r>
      <w:r>
        <w:t xml:space="preserve">  </w:t>
      </w:r>
      <w:r w:rsidRPr="00325886">
        <w:rPr>
          <w:noProof/>
        </w:rPr>
        <w:drawing>
          <wp:inline distT="0" distB="0" distL="0" distR="0" wp14:anchorId="4B472C4E" wp14:editId="6C8B3CC4">
            <wp:extent cx="2713939" cy="1116472"/>
            <wp:effectExtent l="0" t="0" r="0" b="762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flipV="1">
                      <a:off x="0" y="0"/>
                      <a:ext cx="2756408" cy="1133943"/>
                    </a:xfrm>
                    <a:prstGeom prst="rect">
                      <a:avLst/>
                    </a:prstGeom>
                    <a:noFill/>
                    <a:ln>
                      <a:noFill/>
                    </a:ln>
                  </pic:spPr>
                </pic:pic>
              </a:graphicData>
            </a:graphic>
          </wp:inline>
        </w:drawing>
      </w:r>
    </w:p>
    <w:p w14:paraId="0A813A65" w14:textId="74EB4870" w:rsidR="00325886" w:rsidRDefault="00325886" w:rsidP="00FB0E55">
      <w:pPr>
        <w:jc w:val="both"/>
      </w:pPr>
      <w:r w:rsidRPr="00325886">
        <w:t xml:space="preserve">Rys. 4. </w:t>
      </w:r>
      <w:r>
        <w:t>Przykładowa s</w:t>
      </w:r>
      <w:r w:rsidRPr="00325886">
        <w:t>iatkowa tuleja kotwy</w:t>
      </w:r>
      <w:r>
        <w:t xml:space="preserve"> np.</w:t>
      </w:r>
      <w:r w:rsidRPr="00325886">
        <w:t xml:space="preserve"> HIT-S wraz ze sposobem montażu.</w:t>
      </w:r>
    </w:p>
    <w:p w14:paraId="41FCBD3D" w14:textId="17F4A6C7" w:rsidR="00E35B21" w:rsidRDefault="00E35B21" w:rsidP="00FB0E55">
      <w:pPr>
        <w:jc w:val="both"/>
      </w:pPr>
    </w:p>
    <w:p w14:paraId="1FAEDD10" w14:textId="77777777" w:rsidR="00E35B21" w:rsidRDefault="00E35B21" w:rsidP="00FB0E55">
      <w:pPr>
        <w:jc w:val="both"/>
      </w:pPr>
    </w:p>
    <w:sectPr w:rsidR="00E35B21">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2F0E72" w14:textId="77777777" w:rsidR="00377480" w:rsidRDefault="00377480" w:rsidP="00085168">
      <w:pPr>
        <w:spacing w:after="0" w:line="240" w:lineRule="auto"/>
      </w:pPr>
      <w:r>
        <w:separator/>
      </w:r>
    </w:p>
  </w:endnote>
  <w:endnote w:type="continuationSeparator" w:id="0">
    <w:p w14:paraId="0BABDBD2" w14:textId="77777777" w:rsidR="00377480" w:rsidRDefault="00377480" w:rsidP="000851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79964618"/>
      <w:docPartObj>
        <w:docPartGallery w:val="Page Numbers (Bottom of Page)"/>
        <w:docPartUnique/>
      </w:docPartObj>
    </w:sdtPr>
    <w:sdtContent>
      <w:sdt>
        <w:sdtPr>
          <w:id w:val="1728636285"/>
          <w:docPartObj>
            <w:docPartGallery w:val="Page Numbers (Top of Page)"/>
            <w:docPartUnique/>
          </w:docPartObj>
        </w:sdtPr>
        <w:sdtContent>
          <w:p w14:paraId="3FC680C2" w14:textId="4E635761" w:rsidR="00085168" w:rsidRDefault="00085168">
            <w:pPr>
              <w:pStyle w:val="Stopka"/>
              <w:jc w:val="center"/>
            </w:pPr>
            <w:r>
              <w:t xml:space="preserve">Strona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21E743F7" w14:textId="77777777" w:rsidR="00085168" w:rsidRDefault="0008516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B14471" w14:textId="77777777" w:rsidR="00377480" w:rsidRDefault="00377480" w:rsidP="00085168">
      <w:pPr>
        <w:spacing w:after="0" w:line="240" w:lineRule="auto"/>
      </w:pPr>
      <w:r>
        <w:separator/>
      </w:r>
    </w:p>
  </w:footnote>
  <w:footnote w:type="continuationSeparator" w:id="0">
    <w:p w14:paraId="386F5B62" w14:textId="77777777" w:rsidR="00377480" w:rsidRDefault="00377480" w:rsidP="000851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A648F1" w14:textId="1524E055" w:rsidR="005A38A9" w:rsidRPr="005A38A9" w:rsidRDefault="005A38A9">
    <w:pPr>
      <w:pStyle w:val="Nagwek"/>
      <w:rPr>
        <w:sz w:val="20"/>
        <w:szCs w:val="20"/>
      </w:rPr>
    </w:pPr>
    <w:r w:rsidRPr="005A38A9">
      <w:rPr>
        <w:sz w:val="20"/>
        <w:szCs w:val="20"/>
      </w:rPr>
      <w:t>Załącznik do odpowiedzi na pytanie nr 5 z dnia 1 kwietnia 2025 r. w sprawie zamówienia nr ref. 9/C/25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24D6FCC"/>
    <w:multiLevelType w:val="hybridMultilevel"/>
    <w:tmpl w:val="326008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36CD"/>
    <w:rsid w:val="00085168"/>
    <w:rsid w:val="000E5A68"/>
    <w:rsid w:val="00133989"/>
    <w:rsid w:val="0028586B"/>
    <w:rsid w:val="002F2453"/>
    <w:rsid w:val="00325886"/>
    <w:rsid w:val="00377480"/>
    <w:rsid w:val="004B1C28"/>
    <w:rsid w:val="005026FA"/>
    <w:rsid w:val="00522B80"/>
    <w:rsid w:val="005436CD"/>
    <w:rsid w:val="005864AB"/>
    <w:rsid w:val="005A38A9"/>
    <w:rsid w:val="005A3D4A"/>
    <w:rsid w:val="005E1923"/>
    <w:rsid w:val="00600E10"/>
    <w:rsid w:val="00727EBE"/>
    <w:rsid w:val="007A6365"/>
    <w:rsid w:val="007A745A"/>
    <w:rsid w:val="00812CF2"/>
    <w:rsid w:val="008870F8"/>
    <w:rsid w:val="008C7F30"/>
    <w:rsid w:val="0091181E"/>
    <w:rsid w:val="00975032"/>
    <w:rsid w:val="0099791A"/>
    <w:rsid w:val="009B28F6"/>
    <w:rsid w:val="009D34EA"/>
    <w:rsid w:val="00A763EB"/>
    <w:rsid w:val="00AA35D9"/>
    <w:rsid w:val="00AA5F82"/>
    <w:rsid w:val="00AB757E"/>
    <w:rsid w:val="00AC76CE"/>
    <w:rsid w:val="00B6686A"/>
    <w:rsid w:val="00B90A17"/>
    <w:rsid w:val="00BC00E4"/>
    <w:rsid w:val="00C06F6F"/>
    <w:rsid w:val="00C13385"/>
    <w:rsid w:val="00C931EF"/>
    <w:rsid w:val="00CA1BCF"/>
    <w:rsid w:val="00CD7AB2"/>
    <w:rsid w:val="00DB5A40"/>
    <w:rsid w:val="00E35B21"/>
    <w:rsid w:val="00EF351D"/>
    <w:rsid w:val="00F03096"/>
    <w:rsid w:val="00F146B0"/>
    <w:rsid w:val="00F55755"/>
    <w:rsid w:val="00FB0E55"/>
    <w:rsid w:val="00FF03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493882"/>
  <w15:chartTrackingRefBased/>
  <w15:docId w15:val="{54F515B0-2D9A-4745-9573-7B2191580E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B28F6"/>
    <w:pPr>
      <w:ind w:left="720"/>
      <w:contextualSpacing/>
    </w:pPr>
  </w:style>
  <w:style w:type="paragraph" w:styleId="Nagwek">
    <w:name w:val="header"/>
    <w:basedOn w:val="Normalny"/>
    <w:link w:val="NagwekZnak"/>
    <w:uiPriority w:val="99"/>
    <w:unhideWhenUsed/>
    <w:rsid w:val="0008516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85168"/>
  </w:style>
  <w:style w:type="paragraph" w:styleId="Stopka">
    <w:name w:val="footer"/>
    <w:basedOn w:val="Normalny"/>
    <w:link w:val="StopkaZnak"/>
    <w:uiPriority w:val="99"/>
    <w:unhideWhenUsed/>
    <w:rsid w:val="0008516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851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124</TotalTime>
  <Pages>6</Pages>
  <Words>1808</Words>
  <Characters>10852</Characters>
  <Application>Microsoft Office Word</Application>
  <DocSecurity>0</DocSecurity>
  <Lines>90</Lines>
  <Paragraphs>25</Paragraphs>
  <ScaleCrop>false</ScaleCrop>
  <HeadingPairs>
    <vt:vector size="2" baseType="variant">
      <vt:variant>
        <vt:lpstr>Tytuł</vt:lpstr>
      </vt:variant>
      <vt:variant>
        <vt:i4>1</vt:i4>
      </vt:variant>
    </vt:vector>
  </HeadingPairs>
  <TitlesOfParts>
    <vt:vector size="1" baseType="lpstr">
      <vt:lpstr/>
    </vt:vector>
  </TitlesOfParts>
  <Company>KGP</Company>
  <LinksUpToDate>false</LinksUpToDate>
  <CharactersWithSpaces>12635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A06169</dc:creator>
  <cp:keywords/>
  <dc:description/>
  <cp:lastModifiedBy>A06169</cp:lastModifiedBy>
  <cp:revision>36</cp:revision>
  <dcterms:created xsi:type="dcterms:W3CDTF">2025-04-02T08:53:00Z</dcterms:created>
  <dcterms:modified xsi:type="dcterms:W3CDTF">2025-04-02T11:52:00Z</dcterms:modified>
</cp:coreProperties>
</file>