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4617A">
        <w:rPr>
          <w:rFonts w:cstheme="minorHAnsi"/>
          <w:b/>
          <w:szCs w:val="24"/>
        </w:rPr>
        <w:t>100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E4617A">
        <w:rPr>
          <w:b/>
        </w:rPr>
        <w:t>Zintegrowany kurs na samodzielnego księgowego</w:t>
      </w:r>
      <w:r w:rsidRPr="00EA69AA">
        <w:t xml:space="preserve">” dla jednej osoby </w:t>
      </w:r>
      <w:r w:rsidR="00611598">
        <w:t>uprawnione</w:t>
      </w:r>
      <w:r w:rsidRPr="00EA69AA">
        <w:t>j zarejestrowanej w Powiatowym Urzędzie Pracy w Radomiu. Postępowanie prowadzone jest na podstawie regulaminu wewnętrznego „Regulamin organizacji szkoleń dla osób bezrobotnych i innych uprawnionych osób zarejestrowanych  w Powiatowym Urzędzie Pracy w Radomiu” z pominięciem ustawy Prawo Zamówień Publicznych 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E4617A">
        <w:rPr>
          <w:b/>
        </w:rPr>
        <w:t>Zintegrowany kurs na samodzielnego księgowego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9F3B5D" w:rsidRDefault="009F3B5D" w:rsidP="009F3B5D">
      <w:pPr>
        <w:pStyle w:val="Nagwek3"/>
        <w:shd w:val="clear" w:color="auto" w:fill="F9F7F3"/>
        <w:spacing w:before="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 xml:space="preserve">Szkolenie ma na celu nabycie praktycznych umiejętności </w:t>
      </w:r>
      <w:r w:rsidR="00E4617A">
        <w:rPr>
          <w:rFonts w:asciiTheme="minorHAnsi" w:hAnsiTheme="minorHAnsi" w:cstheme="minorHAnsi"/>
          <w:color w:val="auto"/>
        </w:rPr>
        <w:t>obsługi programu księgowego oraz samodzielnego prowadzenia pełnej księgowości w firmach i biurach rachunkowych, a w szczególności:</w:t>
      </w:r>
    </w:p>
    <w:p w:rsidR="00E4617A" w:rsidRDefault="00E4617A" w:rsidP="00E4617A">
      <w:pPr>
        <w:spacing w:line="240" w:lineRule="auto"/>
        <w:rPr>
          <w:b/>
        </w:rPr>
      </w:pPr>
      <w:r w:rsidRPr="002821AD">
        <w:rPr>
          <w:b/>
        </w:rPr>
        <w:t>1. Podatkowa książka przychodów i rozchodów</w:t>
      </w:r>
    </w:p>
    <w:p w:rsidR="002821AD" w:rsidRPr="002821AD" w:rsidRDefault="002821AD" w:rsidP="008D5965">
      <w:pPr>
        <w:spacing w:before="0" w:line="240" w:lineRule="auto"/>
      </w:pPr>
      <w:r w:rsidRPr="002821AD">
        <w:t>a. Formy prowadzenia działalności</w:t>
      </w:r>
    </w:p>
    <w:p w:rsidR="002821AD" w:rsidRDefault="002821AD" w:rsidP="008D5965">
      <w:pPr>
        <w:spacing w:before="0" w:line="240" w:lineRule="auto"/>
      </w:pPr>
      <w:r w:rsidRPr="002821AD">
        <w:t xml:space="preserve">b. </w:t>
      </w:r>
      <w:r>
        <w:t>Karta podatkowa</w:t>
      </w:r>
    </w:p>
    <w:p w:rsidR="002821AD" w:rsidRDefault="002821AD" w:rsidP="008D5965">
      <w:pPr>
        <w:spacing w:before="0" w:line="240" w:lineRule="auto"/>
      </w:pPr>
      <w:r>
        <w:t>c. Dowody księgowe</w:t>
      </w:r>
    </w:p>
    <w:p w:rsidR="002821AD" w:rsidRDefault="002821AD" w:rsidP="008D5965">
      <w:pPr>
        <w:spacing w:before="0" w:line="240" w:lineRule="auto"/>
      </w:pPr>
      <w:r>
        <w:t>d. Koszty uzyskania przychodu</w:t>
      </w:r>
    </w:p>
    <w:p w:rsidR="002821AD" w:rsidRDefault="002821AD" w:rsidP="008D5965">
      <w:pPr>
        <w:spacing w:before="0" w:line="240" w:lineRule="auto"/>
      </w:pPr>
      <w:r>
        <w:t>e. Ewidencja sprzedaży</w:t>
      </w:r>
    </w:p>
    <w:p w:rsidR="002821AD" w:rsidRDefault="002821AD" w:rsidP="008D5965">
      <w:pPr>
        <w:spacing w:before="0" w:line="240" w:lineRule="auto"/>
      </w:pPr>
      <w:r>
        <w:t>f. Odliczanie straty z lat ubiegłych</w:t>
      </w:r>
    </w:p>
    <w:p w:rsidR="002821AD" w:rsidRDefault="002821AD" w:rsidP="008D5965">
      <w:pPr>
        <w:spacing w:before="0" w:line="240" w:lineRule="auto"/>
      </w:pPr>
      <w:r>
        <w:t>g. Likwidacja działalności i skutki prawne</w:t>
      </w:r>
    </w:p>
    <w:p w:rsidR="008D5965" w:rsidRDefault="008D5965" w:rsidP="008D5965">
      <w:pPr>
        <w:spacing w:before="0" w:line="240" w:lineRule="auto"/>
      </w:pPr>
      <w:r>
        <w:t>h. Podatek od towarów i usług</w:t>
      </w:r>
    </w:p>
    <w:p w:rsidR="008D5965" w:rsidRPr="002821AD" w:rsidRDefault="008D5965" w:rsidP="008D5965">
      <w:pPr>
        <w:spacing w:before="0" w:line="240" w:lineRule="auto"/>
      </w:pPr>
      <w:r>
        <w:t>i. Zamknięcie roku</w:t>
      </w:r>
    </w:p>
    <w:p w:rsidR="00E4617A" w:rsidRPr="002821AD" w:rsidRDefault="00E4617A" w:rsidP="00E4617A">
      <w:pPr>
        <w:spacing w:line="240" w:lineRule="auto"/>
        <w:rPr>
          <w:b/>
        </w:rPr>
      </w:pPr>
      <w:r w:rsidRPr="002821AD">
        <w:rPr>
          <w:b/>
        </w:rPr>
        <w:t>2. Rachunkowość – podstawy rachunkowości</w:t>
      </w:r>
    </w:p>
    <w:p w:rsidR="00E4617A" w:rsidRDefault="00E4617A" w:rsidP="008D5965">
      <w:pPr>
        <w:spacing w:before="0" w:line="240" w:lineRule="auto"/>
      </w:pPr>
      <w:r>
        <w:t>a. Pojęcia wstępne</w:t>
      </w:r>
    </w:p>
    <w:p w:rsidR="00E4617A" w:rsidRDefault="00E4617A" w:rsidP="008D5965">
      <w:pPr>
        <w:spacing w:before="0" w:line="240" w:lineRule="auto"/>
      </w:pPr>
      <w:r>
        <w:t>b. Zasoby majątkowe</w:t>
      </w:r>
    </w:p>
    <w:p w:rsidR="00E4617A" w:rsidRDefault="00E4617A" w:rsidP="008D5965">
      <w:pPr>
        <w:spacing w:before="0" w:line="240" w:lineRule="auto"/>
      </w:pPr>
      <w:r>
        <w:t>c. Zdarzenia gospodarcze</w:t>
      </w:r>
    </w:p>
    <w:p w:rsidR="00E4617A" w:rsidRDefault="00E4617A" w:rsidP="008D5965">
      <w:pPr>
        <w:spacing w:before="0" w:line="240" w:lineRule="auto"/>
      </w:pPr>
      <w:r>
        <w:t>d. Ewidencja operacji bilansowych</w:t>
      </w:r>
    </w:p>
    <w:p w:rsidR="002821AD" w:rsidRDefault="002821AD" w:rsidP="008D5965">
      <w:pPr>
        <w:spacing w:before="0" w:line="240" w:lineRule="auto"/>
      </w:pPr>
      <w:r>
        <w:t>e. Dowody księgowe i księgi rachunkowe</w:t>
      </w:r>
    </w:p>
    <w:p w:rsidR="002821AD" w:rsidRDefault="002821AD" w:rsidP="008D5965">
      <w:pPr>
        <w:spacing w:before="0" w:line="240" w:lineRule="auto"/>
      </w:pPr>
      <w:r>
        <w:t>f. Wybrane zagadnienia z rozliczeń publicznoprawnych</w:t>
      </w:r>
    </w:p>
    <w:p w:rsidR="002821AD" w:rsidRDefault="002821AD" w:rsidP="008D5965">
      <w:pPr>
        <w:spacing w:before="0" w:line="240" w:lineRule="auto"/>
      </w:pPr>
      <w:r>
        <w:t>g. Aktywa</w:t>
      </w:r>
    </w:p>
    <w:p w:rsidR="00E4617A" w:rsidRDefault="002821AD" w:rsidP="008D5965">
      <w:pPr>
        <w:spacing w:before="0" w:line="240" w:lineRule="auto"/>
      </w:pPr>
      <w:r>
        <w:t>h. Obrót materiałowy towarów</w:t>
      </w:r>
    </w:p>
    <w:p w:rsidR="00E4617A" w:rsidRPr="002821AD" w:rsidRDefault="00E4617A" w:rsidP="00E4617A">
      <w:pPr>
        <w:spacing w:line="240" w:lineRule="auto"/>
        <w:rPr>
          <w:b/>
        </w:rPr>
      </w:pPr>
      <w:r w:rsidRPr="002821AD">
        <w:rPr>
          <w:b/>
        </w:rPr>
        <w:t>3. Księgowość komputerowa</w:t>
      </w:r>
    </w:p>
    <w:p w:rsidR="002821AD" w:rsidRDefault="002821AD" w:rsidP="008D5965">
      <w:pPr>
        <w:spacing w:before="0" w:line="240" w:lineRule="auto"/>
      </w:pPr>
      <w:r>
        <w:t>a. Instalacja programu</w:t>
      </w:r>
    </w:p>
    <w:p w:rsidR="002821AD" w:rsidRDefault="002821AD" w:rsidP="008D5965">
      <w:pPr>
        <w:spacing w:before="0" w:line="240" w:lineRule="auto"/>
      </w:pPr>
      <w:r>
        <w:t>b. Kartoteki</w:t>
      </w:r>
    </w:p>
    <w:p w:rsidR="002821AD" w:rsidRDefault="002821AD" w:rsidP="008D5965">
      <w:pPr>
        <w:spacing w:before="0" w:after="240" w:line="240" w:lineRule="auto"/>
      </w:pPr>
      <w:r>
        <w:t>c. Plan kont i bilans otwarcia</w:t>
      </w:r>
    </w:p>
    <w:p w:rsidR="002821AD" w:rsidRDefault="002821AD" w:rsidP="008D5965">
      <w:pPr>
        <w:spacing w:before="0" w:line="240" w:lineRule="auto"/>
      </w:pPr>
      <w:r>
        <w:lastRenderedPageBreak/>
        <w:t>d. Rejestry VAT</w:t>
      </w:r>
    </w:p>
    <w:p w:rsidR="002821AD" w:rsidRDefault="002821AD" w:rsidP="008D5965">
      <w:pPr>
        <w:spacing w:before="0" w:line="240" w:lineRule="auto"/>
      </w:pPr>
      <w:r>
        <w:t>e. Archiwizacja danych</w:t>
      </w:r>
    </w:p>
    <w:p w:rsidR="00E4617A" w:rsidRPr="002821AD" w:rsidRDefault="00E4617A" w:rsidP="00E4617A">
      <w:pPr>
        <w:spacing w:line="240" w:lineRule="auto"/>
        <w:rPr>
          <w:b/>
        </w:rPr>
      </w:pPr>
      <w:r w:rsidRPr="002821AD">
        <w:rPr>
          <w:b/>
        </w:rPr>
        <w:t>4. Rachunkowość – warsztaty praktyczne</w:t>
      </w:r>
    </w:p>
    <w:p w:rsidR="00E4617A" w:rsidRDefault="00E4617A" w:rsidP="00E4617A">
      <w:pPr>
        <w:spacing w:line="240" w:lineRule="auto"/>
        <w:rPr>
          <w:b/>
        </w:rPr>
      </w:pPr>
      <w:r w:rsidRPr="002821AD">
        <w:rPr>
          <w:b/>
        </w:rPr>
        <w:t>5. Wynagrodzenia</w:t>
      </w:r>
    </w:p>
    <w:p w:rsidR="002821AD" w:rsidRDefault="002821AD" w:rsidP="008D5965">
      <w:pPr>
        <w:spacing w:before="0" w:line="240" w:lineRule="auto"/>
      </w:pPr>
      <w:r>
        <w:t>a. Wynagrodzenie ze stosunku pracy</w:t>
      </w:r>
    </w:p>
    <w:p w:rsidR="002821AD" w:rsidRDefault="002821AD" w:rsidP="008D5965">
      <w:pPr>
        <w:spacing w:before="0" w:line="240" w:lineRule="auto"/>
      </w:pPr>
      <w:r>
        <w:t>b. Podstawy prawne</w:t>
      </w:r>
    </w:p>
    <w:p w:rsidR="002821AD" w:rsidRDefault="002821AD" w:rsidP="008D5965">
      <w:pPr>
        <w:spacing w:before="0" w:line="240" w:lineRule="auto"/>
      </w:pPr>
      <w:r>
        <w:t>c. Systemy wynagrodzenia</w:t>
      </w:r>
    </w:p>
    <w:p w:rsidR="002821AD" w:rsidRDefault="002821AD" w:rsidP="008D5965">
      <w:pPr>
        <w:spacing w:before="0" w:line="240" w:lineRule="auto"/>
      </w:pPr>
      <w:r>
        <w:t>d. Dokumentacja wynagrodzeń</w:t>
      </w:r>
    </w:p>
    <w:p w:rsidR="002821AD" w:rsidRPr="002821AD" w:rsidRDefault="002821AD" w:rsidP="008D5965">
      <w:pPr>
        <w:spacing w:before="0" w:line="240" w:lineRule="auto"/>
      </w:pPr>
      <w:r>
        <w:t>e. Składki wynagrodzeń</w:t>
      </w:r>
    </w:p>
    <w:p w:rsidR="00B65168" w:rsidRPr="00537039" w:rsidRDefault="00B65168" w:rsidP="009F3B5D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4E1287">
        <w:rPr>
          <w:rFonts w:cstheme="minorHAnsi"/>
          <w:szCs w:val="24"/>
        </w:rPr>
        <w:t>Radomia i okolic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4E1287">
        <w:rPr>
          <w:rFonts w:cstheme="minorHAnsi"/>
          <w:szCs w:val="24"/>
        </w:rPr>
        <w:br/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6969EC" w:rsidRDefault="006969EC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6969EC">
        <w:rPr>
          <w:rFonts w:cstheme="minorHAnsi"/>
          <w:szCs w:val="24"/>
        </w:rPr>
        <w:br/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program szkolenia (zawierający: nazwę i zakres szkolenia, czas trwania i sposób organizacji zajęć, wymagania wstępne dla uczestników szkolenia, cele szkolenia, plan nauczania określający tematy zajęć edukacyjnych oraz ich wymiar, z uwzględnieniem, </w:t>
      </w:r>
      <w:r w:rsidRPr="00E20497">
        <w:rPr>
          <w:rFonts w:asciiTheme="minorHAnsi" w:hAnsiTheme="minorHAnsi" w:cstheme="minorHAnsi"/>
          <w:sz w:val="24"/>
          <w:szCs w:val="24"/>
        </w:rPr>
        <w:lastRenderedPageBreak/>
        <w:t>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8D5965">
        <w:rPr>
          <w:rFonts w:cstheme="minorHAnsi"/>
          <w:szCs w:val="24"/>
        </w:rPr>
        <w:t>24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D24DD6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8D5965">
        <w:rPr>
          <w:rFonts w:cstheme="minorHAnsi"/>
          <w:szCs w:val="24"/>
        </w:rPr>
        <w:t>24</w:t>
      </w:r>
      <w:bookmarkStart w:id="5" w:name="_GoBack"/>
      <w:bookmarkEnd w:id="5"/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D24DD6">
        <w:rPr>
          <w:rFonts w:cstheme="minorHAnsi"/>
          <w:szCs w:val="24"/>
        </w:rPr>
        <w:t>4</w:t>
      </w:r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9F3B5D" w:rsidRDefault="009F3B5D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 xml:space="preserve">zobowiązuje się do przeprowadzenia szkolenia w terminie </w:t>
      </w:r>
      <w:r w:rsidR="001D1978" w:rsidRPr="006969EC">
        <w:rPr>
          <w:rFonts w:cstheme="minorHAnsi"/>
          <w:b/>
          <w:szCs w:val="24"/>
        </w:rPr>
        <w:t>14 dni</w:t>
      </w:r>
      <w:r w:rsidR="001D1978">
        <w:rPr>
          <w:rFonts w:cstheme="minorHAnsi"/>
          <w:szCs w:val="24"/>
        </w:rPr>
        <w:t xml:space="preserve">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 xml:space="preserve">W przypadku, gdy Wykonawca, którego oferta została wybrana, uchyla </w:t>
      </w:r>
      <w:r w:rsidR="006969EC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34C" w:rsidRDefault="00A0134C" w:rsidP="00E20497">
      <w:pPr>
        <w:spacing w:before="0" w:line="240" w:lineRule="auto"/>
      </w:pPr>
      <w:r>
        <w:separator/>
      </w:r>
    </w:p>
  </w:endnote>
  <w:endnote w:type="continuationSeparator" w:id="0">
    <w:p w:rsidR="00A0134C" w:rsidRDefault="00A0134C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Content>
      <w:p w:rsidR="002821AD" w:rsidRDefault="002821A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965">
          <w:rPr>
            <w:noProof/>
          </w:rPr>
          <w:t>2</w:t>
        </w:r>
        <w:r>
          <w:fldChar w:fldCharType="end"/>
        </w:r>
      </w:p>
    </w:sdtContent>
  </w:sdt>
  <w:p w:rsidR="002821AD" w:rsidRDefault="002821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34C" w:rsidRDefault="00A0134C" w:rsidP="00E20497">
      <w:pPr>
        <w:spacing w:before="0" w:line="240" w:lineRule="auto"/>
      </w:pPr>
      <w:r>
        <w:separator/>
      </w:r>
    </w:p>
  </w:footnote>
  <w:footnote w:type="continuationSeparator" w:id="0">
    <w:p w:rsidR="00A0134C" w:rsidRDefault="00A0134C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21AD"/>
    <w:rsid w:val="00287E77"/>
    <w:rsid w:val="002B0FEC"/>
    <w:rsid w:val="002E787E"/>
    <w:rsid w:val="002F204C"/>
    <w:rsid w:val="003002ED"/>
    <w:rsid w:val="003147F7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969EC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137E"/>
    <w:rsid w:val="008B3E3D"/>
    <w:rsid w:val="008C241B"/>
    <w:rsid w:val="008D3D0B"/>
    <w:rsid w:val="008D5965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34C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068"/>
    <w:rsid w:val="00DF66D8"/>
    <w:rsid w:val="00E07EA0"/>
    <w:rsid w:val="00E143BC"/>
    <w:rsid w:val="00E20497"/>
    <w:rsid w:val="00E274DD"/>
    <w:rsid w:val="00E27B9E"/>
    <w:rsid w:val="00E34AD7"/>
    <w:rsid w:val="00E37CE7"/>
    <w:rsid w:val="00E4617A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F03AAA"/>
    <w:rsid w:val="00F2663B"/>
    <w:rsid w:val="00F3135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0D3F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ED2BF-4A5C-40BE-9E9F-6E589F5C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1491</TotalTime>
  <Pages>1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235</cp:revision>
  <cp:lastPrinted>2024-01-09T08:15:00Z</cp:lastPrinted>
  <dcterms:created xsi:type="dcterms:W3CDTF">2021-09-16T06:46:00Z</dcterms:created>
  <dcterms:modified xsi:type="dcterms:W3CDTF">2025-04-18T07:44:00Z</dcterms:modified>
</cp:coreProperties>
</file>