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240" w:lineRule="auto"/>
        <w:rPr>
          <w:rFonts w:ascii="Calibri" w:eastAsia="Calibri" w:hAnsi="Calibri" w:cs="Calibri"/>
          <w:sz w:val="24"/>
          <w:szCs w:val="24"/>
        </w:rPr>
      </w:pPr>
      <w:r>
        <w:rPr>
          <w:rFonts w:ascii="Calibri" w:eastAsia="Calibri" w:hAnsi="Calibri" w:cs="Calibri"/>
          <w:sz w:val="24"/>
          <w:szCs w:val="24"/>
        </w:rPr>
        <w:t xml:space="preserve">Prof. ALK dr hab. Aleksandra </w:t>
      </w:r>
      <w:proofErr w:type="spellStart"/>
      <w:r>
        <w:rPr>
          <w:rFonts w:ascii="Calibri" w:eastAsia="Calibri" w:hAnsi="Calibri" w:cs="Calibri"/>
          <w:sz w:val="24"/>
          <w:szCs w:val="24"/>
        </w:rPr>
        <w:t>Przegalińska</w:t>
      </w:r>
      <w:proofErr w:type="spellEnd"/>
    </w:p>
    <w:p w14:paraId="00000002"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240" w:lineRule="auto"/>
        <w:rPr>
          <w:rFonts w:ascii="Calibri" w:eastAsia="Calibri" w:hAnsi="Calibri" w:cs="Calibri"/>
          <w:sz w:val="24"/>
          <w:szCs w:val="24"/>
        </w:rPr>
      </w:pPr>
      <w:proofErr w:type="spellStart"/>
      <w:r>
        <w:rPr>
          <w:rFonts w:ascii="Calibri" w:eastAsia="Calibri" w:hAnsi="Calibri" w:cs="Calibri"/>
          <w:sz w:val="24"/>
          <w:szCs w:val="24"/>
        </w:rPr>
        <w:t>Akademia</w:t>
      </w:r>
      <w:proofErr w:type="spellEnd"/>
      <w:r>
        <w:rPr>
          <w:rFonts w:ascii="Calibri" w:eastAsia="Calibri" w:hAnsi="Calibri" w:cs="Calibri"/>
          <w:sz w:val="24"/>
          <w:szCs w:val="24"/>
        </w:rPr>
        <w:t xml:space="preserve"> Leona </w:t>
      </w:r>
      <w:proofErr w:type="spellStart"/>
      <w:r>
        <w:rPr>
          <w:rFonts w:ascii="Calibri" w:eastAsia="Calibri" w:hAnsi="Calibri" w:cs="Calibri"/>
          <w:sz w:val="24"/>
          <w:szCs w:val="24"/>
        </w:rPr>
        <w:t>Koźmińskiego</w:t>
      </w:r>
      <w:proofErr w:type="spellEnd"/>
    </w:p>
    <w:p w14:paraId="00000003"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240" w:lineRule="auto"/>
        <w:rPr>
          <w:rFonts w:ascii="Calibri" w:eastAsia="Calibri" w:hAnsi="Calibri" w:cs="Calibri"/>
          <w:sz w:val="24"/>
          <w:szCs w:val="24"/>
        </w:rPr>
      </w:pPr>
      <w:r>
        <w:rPr>
          <w:rFonts w:ascii="Calibri" w:eastAsia="Calibri" w:hAnsi="Calibri" w:cs="Calibri"/>
          <w:sz w:val="24"/>
          <w:szCs w:val="24"/>
        </w:rPr>
        <w:t>Harvard University</w:t>
      </w:r>
    </w:p>
    <w:p w14:paraId="6C0ABA9C" w14:textId="77777777" w:rsidR="009D2F89" w:rsidRDefault="009D2F89">
      <w:pPr>
        <w:pBdr>
          <w:top w:val="none" w:sz="0" w:space="0" w:color="D9D9E3"/>
          <w:left w:val="none" w:sz="0" w:space="0" w:color="D9D9E3"/>
          <w:bottom w:val="none" w:sz="0" w:space="0" w:color="D9D9E3"/>
          <w:right w:val="none" w:sz="0" w:space="0" w:color="D9D9E3"/>
          <w:between w:val="none" w:sz="0" w:space="0" w:color="D9D9E3"/>
        </w:pBdr>
        <w:spacing w:after="300" w:line="240" w:lineRule="auto"/>
        <w:rPr>
          <w:rFonts w:ascii="Calibri" w:eastAsia="Calibri" w:hAnsi="Calibri" w:cs="Calibri"/>
          <w:sz w:val="24"/>
          <w:szCs w:val="24"/>
        </w:rPr>
      </w:pPr>
    </w:p>
    <w:p w14:paraId="00000006"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360" w:lineRule="auto"/>
        <w:jc w:val="center"/>
        <w:rPr>
          <w:rFonts w:ascii="Calibri" w:eastAsia="Calibri" w:hAnsi="Calibri" w:cs="Calibri"/>
          <w:b/>
          <w:sz w:val="32"/>
          <w:szCs w:val="32"/>
        </w:rPr>
      </w:pPr>
      <w:r>
        <w:rPr>
          <w:rFonts w:ascii="Calibri" w:eastAsia="Calibri" w:hAnsi="Calibri" w:cs="Calibri"/>
          <w:b/>
          <w:sz w:val="32"/>
          <w:szCs w:val="32"/>
        </w:rPr>
        <w:t>Art in the Digital Frontier: Navigating the Opportunities and Challenges of Generative AI and the Metaverse</w:t>
      </w:r>
    </w:p>
    <w:p w14:paraId="00000008"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Calibri" w:eastAsia="Calibri" w:hAnsi="Calibri" w:cs="Calibri"/>
          <w:sz w:val="24"/>
          <w:szCs w:val="24"/>
        </w:rPr>
      </w:pPr>
      <w:r>
        <w:rPr>
          <w:rFonts w:ascii="Calibri" w:eastAsia="Calibri" w:hAnsi="Calibri" w:cs="Calibri"/>
          <w:sz w:val="24"/>
          <w:szCs w:val="24"/>
        </w:rPr>
        <w:t xml:space="preserve">In the article  "Metaverse and its Creative Potential for Visual Arts" </w:t>
      </w:r>
      <w:hyperlink r:id="rId5">
        <w:r>
          <w:rPr>
            <w:rFonts w:ascii="Calibri" w:eastAsia="Calibri" w:hAnsi="Calibri" w:cs="Calibri"/>
            <w:color w:val="000000"/>
            <w:sz w:val="24"/>
            <w:szCs w:val="24"/>
          </w:rPr>
          <w:t>(</w:t>
        </w:r>
        <w:proofErr w:type="spellStart"/>
        <w:r>
          <w:rPr>
            <w:rFonts w:ascii="Calibri" w:eastAsia="Calibri" w:hAnsi="Calibri" w:cs="Calibri"/>
            <w:color w:val="000000"/>
            <w:sz w:val="24"/>
            <w:szCs w:val="24"/>
          </w:rPr>
          <w:t>K</w:t>
        </w:r>
      </w:hyperlink>
      <w:hyperlink r:id="rId6">
        <w:r>
          <w:rPr>
            <w:rFonts w:ascii="Calibri" w:eastAsia="Calibri" w:hAnsi="Calibri" w:cs="Calibri"/>
            <w:sz w:val="24"/>
            <w:szCs w:val="24"/>
          </w:rPr>
          <w:t>epinska</w:t>
        </w:r>
        <w:proofErr w:type="spellEnd"/>
        <w:r>
          <w:rPr>
            <w:rFonts w:ascii="Calibri" w:eastAsia="Calibri" w:hAnsi="Calibri" w:cs="Calibri"/>
            <w:sz w:val="24"/>
            <w:szCs w:val="24"/>
          </w:rPr>
          <w:t xml:space="preserve">, Wisniewski 2023) </w:t>
        </w:r>
      </w:hyperlink>
      <w:hyperlink r:id="rId7">
        <w:r>
          <w:rPr>
            <w:rFonts w:ascii="Calibri" w:eastAsia="Calibri" w:hAnsi="Calibri" w:cs="Calibri"/>
            <w:color w:val="000000"/>
            <w:sz w:val="24"/>
            <w:szCs w:val="24"/>
          </w:rPr>
          <w:t>“Metaverse and Its Creative Potential for Visual Arts” 2023)</w:t>
        </w:r>
      </w:hyperlink>
      <w:r>
        <w:rPr>
          <w:rFonts w:ascii="Calibri" w:eastAsia="Calibri" w:hAnsi="Calibri" w:cs="Calibri"/>
          <w:sz w:val="24"/>
          <w:szCs w:val="24"/>
        </w:rPr>
        <w:t xml:space="preserve"> from the July 2023 issue of </w:t>
      </w:r>
      <w:r>
        <w:rPr>
          <w:rFonts w:ascii="Calibri" w:eastAsia="Calibri" w:hAnsi="Calibri" w:cs="Calibri"/>
          <w:i/>
          <w:sz w:val="24"/>
          <w:szCs w:val="24"/>
        </w:rPr>
        <w:t xml:space="preserve">Acta Universitatis </w:t>
      </w:r>
      <w:proofErr w:type="spellStart"/>
      <w:r>
        <w:rPr>
          <w:rFonts w:ascii="Calibri" w:eastAsia="Calibri" w:hAnsi="Calibri" w:cs="Calibri"/>
          <w:i/>
          <w:sz w:val="24"/>
          <w:szCs w:val="24"/>
        </w:rPr>
        <w:t>Lodziensis</w:t>
      </w:r>
      <w:proofErr w:type="spellEnd"/>
      <w:r>
        <w:rPr>
          <w:rFonts w:ascii="Calibri" w:eastAsia="Calibri" w:hAnsi="Calibri" w:cs="Calibri"/>
          <w:i/>
          <w:sz w:val="24"/>
          <w:szCs w:val="24"/>
        </w:rPr>
        <w:t xml:space="preserve"> Folia </w:t>
      </w:r>
      <w:proofErr w:type="spellStart"/>
      <w:r>
        <w:rPr>
          <w:rFonts w:ascii="Calibri" w:eastAsia="Calibri" w:hAnsi="Calibri" w:cs="Calibri"/>
          <w:i/>
          <w:sz w:val="24"/>
          <w:szCs w:val="24"/>
        </w:rPr>
        <w:t>Sociologica</w:t>
      </w:r>
      <w:proofErr w:type="spellEnd"/>
      <w:r>
        <w:rPr>
          <w:rFonts w:ascii="Calibri" w:eastAsia="Calibri" w:hAnsi="Calibri" w:cs="Calibri"/>
          <w:sz w:val="24"/>
          <w:szCs w:val="24"/>
        </w:rPr>
        <w:t xml:space="preserve">, Agata Kępińska and Rafał Wiśniewski explore the impact of emerging technologies on the arts. They focus on the development of virtual spaces, such as the Metaverse, and their potential to foster a new form of ownership through Non-Fungible Tokens (NFTs). The authors delve into the opportunities these technologies offer for visual artists, examining the interplay between modern technologies and art and it will serve as a reference </w:t>
      </w:r>
      <w:r>
        <w:rPr>
          <w:rFonts w:ascii="Calibri" w:eastAsia="Calibri" w:hAnsi="Calibri" w:cs="Calibri"/>
          <w:sz w:val="24"/>
          <w:szCs w:val="24"/>
        </w:rPr>
        <w:t xml:space="preserve">for this analysis. </w:t>
      </w:r>
    </w:p>
    <w:p w14:paraId="00000009"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Calibri" w:eastAsia="Calibri" w:hAnsi="Calibri" w:cs="Calibri"/>
          <w:sz w:val="24"/>
          <w:szCs w:val="24"/>
        </w:rPr>
      </w:pPr>
      <w:r>
        <w:rPr>
          <w:rFonts w:ascii="Calibri" w:eastAsia="Calibri" w:hAnsi="Calibri" w:cs="Calibri"/>
          <w:sz w:val="24"/>
          <w:szCs w:val="24"/>
        </w:rPr>
        <w:t>The metaverse is a rapidly evolving concept, and its current state is a dynamic and evolving landscape. It encompasses various virtual and augmented reality technologies, online social spaces, and digital platforms. In practical terms, the metaverse is currently in the early stages of development. It encompasses various virtual worlds, games, social media platforms, and virtual reality technologies. Companies like Meta (formerly known as Facebook) are investing in building metaverse ecosystems, and blockcha</w:t>
      </w:r>
      <w:r>
        <w:rPr>
          <w:rFonts w:ascii="Calibri" w:eastAsia="Calibri" w:hAnsi="Calibri" w:cs="Calibri"/>
          <w:sz w:val="24"/>
          <w:szCs w:val="24"/>
        </w:rPr>
        <w:t xml:space="preserve">in technology is being used for decentralized ownership and NFTs. Additionally, virtual conferences, remote workspaces, and artificial intelligence-driven experiences are slowly (at least now), but steadily contributing to the evolution of the metaverse. </w:t>
      </w:r>
    </w:p>
    <w:p w14:paraId="0000000A"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after="300" w:line="360" w:lineRule="auto"/>
        <w:jc w:val="both"/>
        <w:rPr>
          <w:rFonts w:ascii="Calibri" w:eastAsia="Calibri" w:hAnsi="Calibri" w:cs="Calibri"/>
          <w:sz w:val="24"/>
          <w:szCs w:val="24"/>
        </w:rPr>
      </w:pPr>
      <w:r>
        <w:rPr>
          <w:rFonts w:ascii="Calibri" w:eastAsia="Calibri" w:hAnsi="Calibri" w:cs="Calibri"/>
          <w:sz w:val="24"/>
          <w:szCs w:val="24"/>
        </w:rPr>
        <w:t xml:space="preserve">Digital art in the Metaverse potentially represents a significant evolution in the realm of artistic expression, leveraging the unique capabilities of virtual environments and could offer an immersive environment where art is not just viewed but experienced. This immersion can be </w:t>
      </w:r>
      <w:r>
        <w:rPr>
          <w:rFonts w:ascii="Calibri" w:eastAsia="Calibri" w:hAnsi="Calibri" w:cs="Calibri"/>
          <w:sz w:val="24"/>
          <w:szCs w:val="24"/>
        </w:rPr>
        <w:lastRenderedPageBreak/>
        <w:t xml:space="preserve">multisensory, allowing the audience to interact with digital art in a more profound and engaging way compared to traditional art settings </w:t>
      </w:r>
      <w:hyperlink r:id="rId8">
        <w:r>
          <w:rPr>
            <w:rFonts w:ascii="Calibri" w:eastAsia="Calibri" w:hAnsi="Calibri" w:cs="Calibri"/>
            <w:color w:val="000000"/>
            <w:sz w:val="24"/>
            <w:szCs w:val="24"/>
          </w:rPr>
          <w:t>(Daugherty and James Wilson 2022)</w:t>
        </w:r>
      </w:hyperlink>
      <w:r>
        <w:rPr>
          <w:rFonts w:ascii="Calibri" w:eastAsia="Calibri" w:hAnsi="Calibri" w:cs="Calibri"/>
          <w:sz w:val="24"/>
          <w:szCs w:val="24"/>
        </w:rPr>
        <w:t xml:space="preserve"> </w:t>
      </w:r>
      <w:hyperlink r:id="rId9">
        <w:r>
          <w:rPr>
            <w:rFonts w:ascii="Calibri" w:eastAsia="Calibri" w:hAnsi="Calibri" w:cs="Calibri"/>
            <w:color w:val="000000"/>
            <w:sz w:val="24"/>
            <w:szCs w:val="24"/>
          </w:rPr>
          <w:t>(Hurst et al. 2023)</w:t>
        </w:r>
      </w:hyperlink>
      <w:r>
        <w:rPr>
          <w:rFonts w:ascii="Calibri" w:eastAsia="Calibri" w:hAnsi="Calibri" w:cs="Calibri"/>
          <w:sz w:val="24"/>
          <w:szCs w:val="24"/>
        </w:rPr>
        <w:t>. Digital art in the Metaverse can be highly interactive, involving the audience in the creation or transformation of the artwork, and this interactivity can redefine the relationship between the artist, the artwork, and the viewer, creating a more dynamic and participatory form of art.</w:t>
      </w:r>
    </w:p>
    <w:p w14:paraId="0000000B"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line="360" w:lineRule="auto"/>
        <w:jc w:val="both"/>
        <w:rPr>
          <w:rFonts w:ascii="Calibri" w:eastAsia="Calibri" w:hAnsi="Calibri" w:cs="Calibri"/>
          <w:sz w:val="24"/>
          <w:szCs w:val="24"/>
        </w:rPr>
      </w:pPr>
      <w:r>
        <w:rPr>
          <w:rFonts w:ascii="Calibri" w:eastAsia="Calibri" w:hAnsi="Calibri" w:cs="Calibri"/>
          <w:sz w:val="24"/>
          <w:szCs w:val="24"/>
        </w:rPr>
        <w:t xml:space="preserve">What we can certainly see as an interesting opportunity is that the Metaverse can provide artists with new digital tools, such as artificial intelligence-driven software and 3D modeling programs, which can inspire and aid in the creation of innovative works. These tools, serving as cognitive and sensory extensions, can handle some of the craftsmanship aspects of art, allowing artists to focus more on the conceptual elements </w:t>
      </w:r>
      <w:hyperlink r:id="rId10">
        <w:r>
          <w:rPr>
            <w:rFonts w:ascii="Calibri" w:eastAsia="Calibri" w:hAnsi="Calibri" w:cs="Calibri"/>
            <w:color w:val="000000"/>
            <w:sz w:val="24"/>
            <w:szCs w:val="24"/>
          </w:rPr>
          <w:t>(Qin and Hui 2023)</w:t>
        </w:r>
      </w:hyperlink>
      <w:r>
        <w:rPr>
          <w:rFonts w:ascii="Calibri" w:eastAsia="Calibri" w:hAnsi="Calibri" w:cs="Calibri"/>
          <w:sz w:val="24"/>
          <w:szCs w:val="24"/>
        </w:rPr>
        <w:t xml:space="preserve">. </w:t>
      </w:r>
    </w:p>
    <w:p w14:paraId="0000000C"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line="360" w:lineRule="auto"/>
        <w:jc w:val="both"/>
        <w:rPr>
          <w:rFonts w:ascii="Calibri" w:eastAsia="Calibri" w:hAnsi="Calibri" w:cs="Calibri"/>
          <w:sz w:val="24"/>
          <w:szCs w:val="24"/>
        </w:rPr>
      </w:pPr>
      <w:r>
        <w:rPr>
          <w:rFonts w:ascii="Calibri" w:eastAsia="Calibri" w:hAnsi="Calibri" w:cs="Calibri"/>
          <w:sz w:val="24"/>
          <w:szCs w:val="24"/>
        </w:rPr>
        <w:t>Regarding the participation, the virtual nature of the Metaverse makes digital art obviously more accessible to a wider and potentially more diverse audience. This includes individuals who may not typically visit physical art galleries or museums. Moreover, the integration of blockchain technology and non-fungible tokens (NFTs) in the metaverse provides a new model for owning, buying, and selling digital art. NFTs verify the uniqueness and ownership of digital artworks, enabling artists to monetize their cr</w:t>
      </w:r>
      <w:r>
        <w:rPr>
          <w:rFonts w:ascii="Calibri" w:eastAsia="Calibri" w:hAnsi="Calibri" w:cs="Calibri"/>
          <w:sz w:val="24"/>
          <w:szCs w:val="24"/>
        </w:rPr>
        <w:t xml:space="preserve">eations in ways that were not possible before </w:t>
      </w:r>
      <w:hyperlink r:id="rId11">
        <w:r>
          <w:rPr>
            <w:rFonts w:ascii="Calibri" w:eastAsia="Calibri" w:hAnsi="Calibri" w:cs="Calibri"/>
            <w:color w:val="000000"/>
            <w:sz w:val="24"/>
            <w:szCs w:val="24"/>
          </w:rPr>
          <w:t>(Trending 2021)</w:t>
        </w:r>
      </w:hyperlink>
      <w:r>
        <w:rPr>
          <w:rFonts w:ascii="Calibri" w:eastAsia="Calibri" w:hAnsi="Calibri" w:cs="Calibri"/>
          <w:sz w:val="24"/>
          <w:szCs w:val="24"/>
        </w:rPr>
        <w:t xml:space="preserve">. </w:t>
      </w:r>
    </w:p>
    <w:p w14:paraId="0000000D"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line="360" w:lineRule="auto"/>
        <w:jc w:val="both"/>
        <w:rPr>
          <w:rFonts w:ascii="Calibri" w:eastAsia="Calibri" w:hAnsi="Calibri" w:cs="Calibri"/>
          <w:sz w:val="24"/>
          <w:szCs w:val="24"/>
        </w:rPr>
      </w:pPr>
      <w:r>
        <w:rPr>
          <w:rFonts w:ascii="Calibri" w:eastAsia="Calibri" w:hAnsi="Calibri" w:cs="Calibri"/>
          <w:sz w:val="24"/>
          <w:szCs w:val="24"/>
        </w:rPr>
        <w:t>Blockchain is certainly promising for the Metaverse, but it seems like the most vital technology for further Metaverse development is artificial intelligence in general, and generative AI in particular. Generative AI plays a critical role in the evolution and functionality of the Metaverse, a digital expanse characterized by its immersive and interactive virtual environments. This technology not only influences the creative processes within these spaces but also significantly shapes user experience and inte</w:t>
      </w:r>
      <w:r>
        <w:rPr>
          <w:rFonts w:ascii="Calibri" w:eastAsia="Calibri" w:hAnsi="Calibri" w:cs="Calibri"/>
          <w:sz w:val="24"/>
          <w:szCs w:val="24"/>
        </w:rPr>
        <w:t xml:space="preserve">raction dynamics </w:t>
      </w:r>
      <w:hyperlink r:id="rId12">
        <w:r>
          <w:rPr>
            <w:rFonts w:ascii="Calibri" w:eastAsia="Calibri" w:hAnsi="Calibri" w:cs="Calibri"/>
            <w:color w:val="000000"/>
            <w:sz w:val="24"/>
            <w:szCs w:val="24"/>
          </w:rPr>
          <w:t>(Wiederhold 2023)</w:t>
        </w:r>
      </w:hyperlink>
      <w:r>
        <w:rPr>
          <w:rFonts w:ascii="Calibri" w:eastAsia="Calibri" w:hAnsi="Calibri" w:cs="Calibri"/>
          <w:sz w:val="24"/>
          <w:szCs w:val="24"/>
        </w:rPr>
        <w:t>.</w:t>
      </w:r>
    </w:p>
    <w:p w14:paraId="0000000E"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 xml:space="preserve">In the realm of artistic creation, generative AI emerges as a transformative tool, extending the capabilities of human artists and introducing novel artistic expressions. By employing algorithms capable of independent learning and creation, these AI systems facilitate the generation of unique visual elements, textures, and forms. This collaboration between human creativity and </w:t>
      </w:r>
      <w:r>
        <w:rPr>
          <w:rFonts w:ascii="Calibri" w:eastAsia="Calibri" w:hAnsi="Calibri" w:cs="Calibri"/>
          <w:sz w:val="24"/>
          <w:szCs w:val="24"/>
        </w:rPr>
        <w:lastRenderedPageBreak/>
        <w:t>algorithmic complexity leads to the emergence of new artistic styles and techniques that were previously unattainable.</w:t>
      </w:r>
    </w:p>
    <w:p w14:paraId="0000000F"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 xml:space="preserve">The role of generative AI extends beyond mere artistic creation, impacting the very nature of virtual environments within the Metaverse. Unlike static digital landscapes, AI-generated environments can dynamically evolve, responding in real-time to user interactions. Such adaptability not only enhances the immersive quality of these virtual spaces but also personalizes the user experience </w:t>
      </w:r>
      <w:hyperlink r:id="rId13">
        <w:r>
          <w:rPr>
            <w:rFonts w:ascii="Calibri" w:eastAsia="Calibri" w:hAnsi="Calibri" w:cs="Calibri"/>
            <w:color w:val="000000"/>
            <w:sz w:val="24"/>
            <w:szCs w:val="24"/>
          </w:rPr>
          <w:t>(</w:t>
        </w:r>
        <w:proofErr w:type="spellStart"/>
        <w:r>
          <w:rPr>
            <w:rFonts w:ascii="Calibri" w:eastAsia="Calibri" w:hAnsi="Calibri" w:cs="Calibri"/>
            <w:color w:val="000000"/>
            <w:sz w:val="24"/>
            <w:szCs w:val="24"/>
          </w:rPr>
          <w:t>Panconesi</w:t>
        </w:r>
        <w:proofErr w:type="spellEnd"/>
        <w:r>
          <w:rPr>
            <w:rFonts w:ascii="Calibri" w:eastAsia="Calibri" w:hAnsi="Calibri" w:cs="Calibri"/>
            <w:color w:val="000000"/>
            <w:sz w:val="24"/>
            <w:szCs w:val="24"/>
          </w:rPr>
          <w:t xml:space="preserve"> and Guida 2021)</w:t>
        </w:r>
      </w:hyperlink>
      <w:r>
        <w:rPr>
          <w:rFonts w:ascii="Calibri" w:eastAsia="Calibri" w:hAnsi="Calibri" w:cs="Calibri"/>
          <w:sz w:val="24"/>
          <w:szCs w:val="24"/>
        </w:rPr>
        <w:t>. Environments that adjust based on user preferences or behaviors introduce a level of engagement and personalization previously unseen in digital realms.</w:t>
      </w:r>
    </w:p>
    <w:p w14:paraId="00000010"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 xml:space="preserve">Moreover, generative AI significantly contributes to the development of Non-Player Characters (NPCs) within these virtual worlds. By infusing NPCs with advanced behavioral algorithms, these characters exhibit more realistic and complex interactions. This enhancement in NPC behavior augments the depth and realism of the Metaverse, fostering a more engaging and lifelike experience for users </w:t>
      </w:r>
      <w:hyperlink r:id="rId14">
        <w:r>
          <w:rPr>
            <w:rFonts w:ascii="Calibri" w:eastAsia="Calibri" w:hAnsi="Calibri" w:cs="Calibri"/>
            <w:color w:val="000000"/>
            <w:sz w:val="24"/>
            <w:szCs w:val="24"/>
          </w:rPr>
          <w:t>(Thien-Huynh The et al. 2023)</w:t>
        </w:r>
      </w:hyperlink>
      <w:r>
        <w:rPr>
          <w:rFonts w:ascii="Calibri" w:eastAsia="Calibri" w:hAnsi="Calibri" w:cs="Calibri"/>
          <w:sz w:val="24"/>
          <w:szCs w:val="24"/>
        </w:rPr>
        <w:t>. Interactive storytelling within the Metaverse is another domain where generative AI finds application. In virtual reality and gaming scenarios, AI can craft narratives that adapt to user decisions, creating a dynamic storytelling experience that is both engaging and personalized.</w:t>
      </w:r>
    </w:p>
    <w:p w14:paraId="00000011"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The expansive nature of the Metaverse necessitates vast amounts of content, a demand that generative AI effectively addresses. By automating the creation process, AI can generate landscapes, architectural structures, and even entire virtual worlds, thus reducing the need for extensive manual labor. This capability is crucial in scaling the Metaverse, allowing for rapid expansion and diversification of its virtual landscapes.</w:t>
      </w:r>
    </w:p>
    <w:p w14:paraId="00000012"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 xml:space="preserve">Personalization and customization form another significant aspect of generative AI's role. Leveraging user data, AI systems can tailor experiences within the Metaverse to align with individual user preferences. This personalization can manifest in various forms, from recommending specific activities or environments to customizing avatars and personal spaces </w:t>
      </w:r>
      <w:hyperlink r:id="rId15">
        <w:r>
          <w:rPr>
            <w:rFonts w:ascii="Calibri" w:eastAsia="Calibri" w:hAnsi="Calibri" w:cs="Calibri"/>
            <w:color w:val="000000"/>
            <w:sz w:val="24"/>
            <w:szCs w:val="24"/>
          </w:rPr>
          <w:t>(Angelini et al. 2022)</w:t>
        </w:r>
      </w:hyperlink>
      <w:r>
        <w:rPr>
          <w:rFonts w:ascii="Calibri" w:eastAsia="Calibri" w:hAnsi="Calibri" w:cs="Calibri"/>
          <w:sz w:val="24"/>
          <w:szCs w:val="24"/>
        </w:rPr>
        <w:t>.</w:t>
      </w:r>
    </w:p>
    <w:p w14:paraId="00000013" w14:textId="77777777" w:rsidR="00340922" w:rsidRDefault="00340922">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p>
    <w:p w14:paraId="00000014"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While the potential of generative AI in the Metaverse is vast, it also introduces several challenges and ethical considerations. Issues surrounding the authenticity of AI-generated art, intellectual property rights, and the potential diminution of human involvement in creative processes are areas of ongoing debate. Additionally, concerns about data privacy and the ethical use of AI-generated content are paramount, necessitating a balanced approach to the integration of generative AI in the Metaverse.</w:t>
      </w:r>
    </w:p>
    <w:p w14:paraId="00000015"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 xml:space="preserve">On a more general level, despite its potential, digital art in the metaverse faces challenges such as the digital divide, the environmental impact of blockchain and AI technologies, and concerns over intellectual property rights </w:t>
      </w:r>
      <w:hyperlink r:id="rId16">
        <w:r>
          <w:rPr>
            <w:rFonts w:ascii="Calibri" w:eastAsia="Calibri" w:hAnsi="Calibri" w:cs="Calibri"/>
            <w:color w:val="000000"/>
            <w:sz w:val="24"/>
            <w:szCs w:val="24"/>
          </w:rPr>
          <w:t>(Pathak-Shelat and Mehta 2023)</w:t>
        </w:r>
      </w:hyperlink>
      <w:r>
        <w:rPr>
          <w:rFonts w:ascii="Calibri" w:eastAsia="Calibri" w:hAnsi="Calibri" w:cs="Calibri"/>
          <w:sz w:val="24"/>
          <w:szCs w:val="24"/>
        </w:rPr>
        <w:t xml:space="preserve">. </w:t>
      </w:r>
    </w:p>
    <w:p w14:paraId="00000016"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Also, while the Metaverse enables the creation of expansive, imaginative spaces, there's a risk that the focus on technological innovation could overshadow certain depth and authenticity of artistic expression. The emphasis on virtual reality and AI-generated art might lead to a form of artistic experience that prioritizes novelty and spectacle over substance and meaningful engagement. Although the Metaverse offers the potential to reach new audiences, particularly younger, tech-savvy individuals, it also h</w:t>
      </w:r>
      <w:r>
        <w:rPr>
          <w:rFonts w:ascii="Calibri" w:eastAsia="Calibri" w:hAnsi="Calibri" w:cs="Calibri"/>
          <w:sz w:val="24"/>
          <w:szCs w:val="24"/>
        </w:rPr>
        <w:t xml:space="preserve">ighlights the digital divide. Access to the Metaverse requires specific technology, like VR headsets and high-speed internet, which may not be accessible to all, potentially excluding certain demographics from participating in these new art experiences </w:t>
      </w:r>
      <w:hyperlink r:id="rId17">
        <w:r>
          <w:rPr>
            <w:rFonts w:ascii="Calibri" w:eastAsia="Calibri" w:hAnsi="Calibri" w:cs="Calibri"/>
            <w:color w:val="000000"/>
            <w:sz w:val="24"/>
            <w:szCs w:val="24"/>
          </w:rPr>
          <w:t>(</w:t>
        </w:r>
        <w:proofErr w:type="spellStart"/>
        <w:r>
          <w:rPr>
            <w:rFonts w:ascii="Calibri" w:eastAsia="Calibri" w:hAnsi="Calibri" w:cs="Calibri"/>
            <w:color w:val="000000"/>
            <w:sz w:val="24"/>
            <w:szCs w:val="24"/>
          </w:rPr>
          <w:t>Badotra</w:t>
        </w:r>
        <w:proofErr w:type="spellEnd"/>
        <w:r>
          <w:rPr>
            <w:rFonts w:ascii="Calibri" w:eastAsia="Calibri" w:hAnsi="Calibri" w:cs="Calibri"/>
            <w:color w:val="000000"/>
            <w:sz w:val="24"/>
            <w:szCs w:val="24"/>
          </w:rPr>
          <w:t xml:space="preserve"> et al. 2023)</w:t>
        </w:r>
      </w:hyperlink>
      <w:r>
        <w:rPr>
          <w:rFonts w:ascii="Calibri" w:eastAsia="Calibri" w:hAnsi="Calibri" w:cs="Calibri"/>
          <w:sz w:val="24"/>
          <w:szCs w:val="24"/>
        </w:rPr>
        <w:t>.</w:t>
      </w:r>
    </w:p>
    <w:p w14:paraId="00000017"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The integration of NFTs and the focus on digital goods offer new revenue streams for artists. However, this also introduces the complexities of the cryptocurrency market into the art world. The volatility and speculative nature of this market could lead to financial uncertainty. Additionally, the focus on NFTs might shift the value of art from artistic merit to market dynamics and rarity, influenced by digital scarcity rather than artistic quality.</w:t>
      </w:r>
    </w:p>
    <w:p w14:paraId="00000018"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 xml:space="preserve">With advanced tools like AI and 3D modeling at the forefront, there's a potential for depersonalization in the creative process </w:t>
      </w:r>
      <w:hyperlink r:id="rId18">
        <w:r>
          <w:rPr>
            <w:rFonts w:ascii="Calibri" w:eastAsia="Calibri" w:hAnsi="Calibri" w:cs="Calibri"/>
            <w:color w:val="000000"/>
            <w:sz w:val="24"/>
            <w:szCs w:val="24"/>
          </w:rPr>
          <w:t>(Banerji 2023)</w:t>
        </w:r>
      </w:hyperlink>
      <w:r>
        <w:rPr>
          <w:rFonts w:ascii="Calibri" w:eastAsia="Calibri" w:hAnsi="Calibri" w:cs="Calibri"/>
          <w:sz w:val="24"/>
          <w:szCs w:val="24"/>
        </w:rPr>
        <w:t xml:space="preserve">. While these tools can enhance artistic </w:t>
      </w:r>
      <w:r>
        <w:rPr>
          <w:rFonts w:ascii="Calibri" w:eastAsia="Calibri" w:hAnsi="Calibri" w:cs="Calibri"/>
          <w:sz w:val="24"/>
          <w:szCs w:val="24"/>
        </w:rPr>
        <w:lastRenderedPageBreak/>
        <w:t>capabilities, they could also lead to a scenario where the role of the artist becomes more of a curator of technology-driven, collective processes rather than a creator of deeply personal art.</w:t>
      </w:r>
    </w:p>
    <w:p w14:paraId="00000019" w14:textId="77777777" w:rsidR="00340922" w:rsidRDefault="00693053">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jc w:val="both"/>
        <w:rPr>
          <w:rFonts w:ascii="Calibri" w:eastAsia="Calibri" w:hAnsi="Calibri" w:cs="Calibri"/>
          <w:sz w:val="24"/>
          <w:szCs w:val="24"/>
        </w:rPr>
      </w:pPr>
      <w:r>
        <w:rPr>
          <w:rFonts w:ascii="Calibri" w:eastAsia="Calibri" w:hAnsi="Calibri" w:cs="Calibri"/>
          <w:sz w:val="24"/>
          <w:szCs w:val="24"/>
        </w:rPr>
        <w:t>The deployment of generative AI in the Metaverse, however fascinating,  brings forth challenges and ethical considerations, particularly in terms of authenticity, intellectual property, and data privacy.</w:t>
      </w:r>
    </w:p>
    <w:p w14:paraId="0000001A" w14:textId="77777777" w:rsidR="00340922" w:rsidRDefault="00340922">
      <w:pPr>
        <w:numPr>
          <w:ilvl w:val="0"/>
          <w:numId w:val="1"/>
        </w:numPr>
        <w:pBdr>
          <w:top w:val="none" w:sz="0" w:space="0" w:color="D9D9E3"/>
          <w:left w:val="none" w:sz="0" w:space="0" w:color="D9D9E3"/>
          <w:bottom w:val="none" w:sz="0" w:space="0" w:color="D9D9E3"/>
          <w:right w:val="none" w:sz="0" w:space="0" w:color="D9D9E3"/>
          <w:between w:val="none" w:sz="0" w:space="0" w:color="D9D9E3"/>
        </w:pBdr>
        <w:spacing w:before="300"/>
        <w:rPr>
          <w:rFonts w:ascii="Calibri" w:eastAsia="Calibri" w:hAnsi="Calibri" w:cs="Calibri"/>
          <w:color w:val="000000"/>
          <w:sz w:val="24"/>
          <w:szCs w:val="24"/>
        </w:rPr>
      </w:pPr>
    </w:p>
    <w:p w14:paraId="0000001B" w14:textId="77777777" w:rsidR="00340922" w:rsidRDefault="00340922">
      <w:pPr>
        <w:rPr>
          <w:rFonts w:ascii="Calibri" w:eastAsia="Calibri" w:hAnsi="Calibri" w:cs="Calibri"/>
        </w:rPr>
      </w:pPr>
    </w:p>
    <w:p w14:paraId="0000001C" w14:textId="77777777" w:rsidR="00340922" w:rsidRDefault="00693053">
      <w:pPr>
        <w:widowControl w:val="0"/>
        <w:pBdr>
          <w:top w:val="nil"/>
          <w:left w:val="nil"/>
          <w:bottom w:val="nil"/>
          <w:right w:val="nil"/>
          <w:between w:val="nil"/>
        </w:pBdr>
        <w:spacing w:before="240" w:line="240" w:lineRule="auto"/>
        <w:ind w:left="480" w:hanging="480"/>
        <w:rPr>
          <w:rFonts w:ascii="Calibri" w:eastAsia="Calibri" w:hAnsi="Calibri" w:cs="Calibri"/>
          <w:b/>
        </w:rPr>
      </w:pPr>
      <w:r>
        <w:rPr>
          <w:rFonts w:ascii="Calibri" w:eastAsia="Calibri" w:hAnsi="Calibri" w:cs="Calibri"/>
          <w:b/>
        </w:rPr>
        <w:t>Bibliography:</w:t>
      </w:r>
    </w:p>
    <w:p w14:paraId="0000001D" w14:textId="77777777" w:rsidR="00340922" w:rsidRDefault="00693053">
      <w:pPr>
        <w:widowControl w:val="0"/>
        <w:pBdr>
          <w:top w:val="nil"/>
          <w:left w:val="nil"/>
          <w:bottom w:val="nil"/>
          <w:right w:val="nil"/>
          <w:between w:val="nil"/>
        </w:pBdr>
        <w:spacing w:before="220" w:line="240" w:lineRule="auto"/>
        <w:ind w:left="440" w:hanging="440"/>
        <w:rPr>
          <w:rFonts w:ascii="Calibri" w:eastAsia="Calibri" w:hAnsi="Calibri" w:cs="Calibri"/>
          <w:color w:val="000000"/>
        </w:rPr>
      </w:pPr>
      <w:hyperlink r:id="rId19">
        <w:r>
          <w:rPr>
            <w:rFonts w:ascii="Calibri" w:eastAsia="Calibri" w:hAnsi="Calibri" w:cs="Calibri"/>
            <w:color w:val="000000"/>
          </w:rPr>
          <w:t xml:space="preserve">Angelini, Leonardo, Massimo </w:t>
        </w:r>
        <w:proofErr w:type="spellStart"/>
        <w:r>
          <w:rPr>
            <w:rFonts w:ascii="Calibri" w:eastAsia="Calibri" w:hAnsi="Calibri" w:cs="Calibri"/>
            <w:color w:val="000000"/>
          </w:rPr>
          <w:t>Mecella</w:t>
        </w:r>
        <w:proofErr w:type="spellEnd"/>
        <w:r>
          <w:rPr>
            <w:rFonts w:ascii="Calibri" w:eastAsia="Calibri" w:hAnsi="Calibri" w:cs="Calibri"/>
            <w:color w:val="000000"/>
          </w:rPr>
          <w:t xml:space="preserve">, Hai-Ning Liang, Maurizio </w:t>
        </w:r>
        <w:proofErr w:type="spellStart"/>
        <w:r>
          <w:rPr>
            <w:rFonts w:ascii="Calibri" w:eastAsia="Calibri" w:hAnsi="Calibri" w:cs="Calibri"/>
            <w:color w:val="000000"/>
          </w:rPr>
          <w:t>Caon</w:t>
        </w:r>
        <w:proofErr w:type="spellEnd"/>
        <w:r>
          <w:rPr>
            <w:rFonts w:ascii="Calibri" w:eastAsia="Calibri" w:hAnsi="Calibri" w:cs="Calibri"/>
            <w:color w:val="000000"/>
          </w:rPr>
          <w:t xml:space="preserve">, Elena </w:t>
        </w:r>
        <w:proofErr w:type="spellStart"/>
        <w:r>
          <w:rPr>
            <w:rFonts w:ascii="Calibri" w:eastAsia="Calibri" w:hAnsi="Calibri" w:cs="Calibri"/>
            <w:color w:val="000000"/>
          </w:rPr>
          <w:t>Mugellini</w:t>
        </w:r>
        <w:proofErr w:type="spellEnd"/>
        <w:r>
          <w:rPr>
            <w:rFonts w:ascii="Calibri" w:eastAsia="Calibri" w:hAnsi="Calibri" w:cs="Calibri"/>
            <w:color w:val="000000"/>
          </w:rPr>
          <w:t xml:space="preserve">, Omar Abou Khaled, and Danilo Bernardini. 2022. “Towards an Emotionally Augmented Metaverse: A Framework for Recording and </w:t>
        </w:r>
        <w:proofErr w:type="spellStart"/>
        <w:r>
          <w:rPr>
            <w:rFonts w:ascii="Calibri" w:eastAsia="Calibri" w:hAnsi="Calibri" w:cs="Calibri"/>
            <w:color w:val="000000"/>
          </w:rPr>
          <w:t>Analysing</w:t>
        </w:r>
        <w:proofErr w:type="spellEnd"/>
        <w:r>
          <w:rPr>
            <w:rFonts w:ascii="Calibri" w:eastAsia="Calibri" w:hAnsi="Calibri" w:cs="Calibri"/>
            <w:color w:val="000000"/>
          </w:rPr>
          <w:t xml:space="preserve"> Physiological Data and User </w:t>
        </w:r>
        <w:proofErr w:type="spellStart"/>
        <w:r>
          <w:rPr>
            <w:rFonts w:ascii="Calibri" w:eastAsia="Calibri" w:hAnsi="Calibri" w:cs="Calibri"/>
            <w:color w:val="000000"/>
          </w:rPr>
          <w:t>Behaviour</w:t>
        </w:r>
        <w:proofErr w:type="spellEnd"/>
        <w:r>
          <w:rPr>
            <w:rFonts w:ascii="Calibri" w:eastAsia="Calibri" w:hAnsi="Calibri" w:cs="Calibri"/>
            <w:color w:val="000000"/>
          </w:rPr>
          <w:t xml:space="preserve">.” In </w:t>
        </w:r>
      </w:hyperlink>
      <w:hyperlink r:id="rId20">
        <w:r>
          <w:rPr>
            <w:rFonts w:ascii="Calibri" w:eastAsia="Calibri" w:hAnsi="Calibri" w:cs="Calibri"/>
            <w:i/>
            <w:color w:val="000000"/>
          </w:rPr>
          <w:t>13th Augmented Human International Conference</w:t>
        </w:r>
      </w:hyperlink>
      <w:hyperlink r:id="rId21">
        <w:r>
          <w:rPr>
            <w:rFonts w:ascii="Calibri" w:eastAsia="Calibri" w:hAnsi="Calibri" w:cs="Calibri"/>
            <w:color w:val="000000"/>
          </w:rPr>
          <w:t>, 1–5. AH2022 3. New York, NY, USA: Association for Computing Machinery.</w:t>
        </w:r>
      </w:hyperlink>
    </w:p>
    <w:p w14:paraId="0000001E"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22">
        <w:proofErr w:type="spellStart"/>
        <w:r>
          <w:rPr>
            <w:rFonts w:ascii="Calibri" w:eastAsia="Calibri" w:hAnsi="Calibri" w:cs="Calibri"/>
            <w:color w:val="000000"/>
          </w:rPr>
          <w:t>Badotra</w:t>
        </w:r>
        <w:proofErr w:type="spellEnd"/>
        <w:r>
          <w:rPr>
            <w:rFonts w:ascii="Calibri" w:eastAsia="Calibri" w:hAnsi="Calibri" w:cs="Calibri"/>
            <w:color w:val="000000"/>
          </w:rPr>
          <w:t xml:space="preserve">, Sumit, Sarvesh Tanwar, Ajay Rana, Nidhi Sindhwani, and Ramani Kannan. 2023. </w:t>
        </w:r>
      </w:hyperlink>
      <w:hyperlink r:id="rId23">
        <w:r>
          <w:rPr>
            <w:rFonts w:ascii="Calibri" w:eastAsia="Calibri" w:hAnsi="Calibri" w:cs="Calibri"/>
            <w:i/>
            <w:color w:val="000000"/>
          </w:rPr>
          <w:t>Handbook of Augmented and Virtual Reality</w:t>
        </w:r>
      </w:hyperlink>
      <w:hyperlink r:id="rId24">
        <w:r>
          <w:rPr>
            <w:rFonts w:ascii="Calibri" w:eastAsia="Calibri" w:hAnsi="Calibri" w:cs="Calibri"/>
            <w:color w:val="000000"/>
          </w:rPr>
          <w:t>. Walter de Gruyter GmbH &amp; Co KG.</w:t>
        </w:r>
      </w:hyperlink>
    </w:p>
    <w:p w14:paraId="0000001F"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25">
        <w:r>
          <w:rPr>
            <w:rFonts w:ascii="Calibri" w:eastAsia="Calibri" w:hAnsi="Calibri" w:cs="Calibri"/>
            <w:color w:val="000000"/>
          </w:rPr>
          <w:t>Banerji, Sumona. 2023. “Future of Well-Being- The Metaverse Era,” May, 141.</w:t>
        </w:r>
      </w:hyperlink>
    </w:p>
    <w:p w14:paraId="00000020"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26">
        <w:r>
          <w:rPr>
            <w:rFonts w:ascii="Calibri" w:eastAsia="Calibri" w:hAnsi="Calibri" w:cs="Calibri"/>
            <w:color w:val="000000"/>
          </w:rPr>
          <w:t xml:space="preserve">Daugherty, Paul, and H. James Wilson. 2022. </w:t>
        </w:r>
      </w:hyperlink>
      <w:hyperlink r:id="rId27">
        <w:r>
          <w:rPr>
            <w:rFonts w:ascii="Calibri" w:eastAsia="Calibri" w:hAnsi="Calibri" w:cs="Calibri"/>
            <w:i/>
            <w:color w:val="000000"/>
          </w:rPr>
          <w:t>Radically Human: How New Technology Is Transforming Business and Shaping Our Future</w:t>
        </w:r>
      </w:hyperlink>
      <w:hyperlink r:id="rId28">
        <w:r>
          <w:rPr>
            <w:rFonts w:ascii="Calibri" w:eastAsia="Calibri" w:hAnsi="Calibri" w:cs="Calibri"/>
            <w:color w:val="000000"/>
          </w:rPr>
          <w:t>. Harvard Business Press.</w:t>
        </w:r>
      </w:hyperlink>
    </w:p>
    <w:p w14:paraId="00000021"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29">
        <w:r>
          <w:rPr>
            <w:rFonts w:ascii="Calibri" w:eastAsia="Calibri" w:hAnsi="Calibri" w:cs="Calibri"/>
            <w:color w:val="000000"/>
          </w:rPr>
          <w:t xml:space="preserve">Hurst, William, Orestis Spyrou, Bedir </w:t>
        </w:r>
        <w:proofErr w:type="spellStart"/>
        <w:r>
          <w:rPr>
            <w:rFonts w:ascii="Calibri" w:eastAsia="Calibri" w:hAnsi="Calibri" w:cs="Calibri"/>
            <w:color w:val="000000"/>
          </w:rPr>
          <w:t>Tekinerdogan</w:t>
        </w:r>
        <w:proofErr w:type="spellEnd"/>
        <w:r>
          <w:rPr>
            <w:rFonts w:ascii="Calibri" w:eastAsia="Calibri" w:hAnsi="Calibri" w:cs="Calibri"/>
            <w:color w:val="000000"/>
          </w:rPr>
          <w:t xml:space="preserve">, and Caspar Krampe. 2023. “Digital Art and the Metaverse: Benefits and Challenges.” </w:t>
        </w:r>
      </w:hyperlink>
      <w:hyperlink r:id="rId30">
        <w:r>
          <w:rPr>
            <w:rFonts w:ascii="Calibri" w:eastAsia="Calibri" w:hAnsi="Calibri" w:cs="Calibri"/>
            <w:i/>
            <w:color w:val="000000"/>
          </w:rPr>
          <w:t>Future Internet</w:t>
        </w:r>
      </w:hyperlink>
      <w:hyperlink r:id="rId31">
        <w:r>
          <w:rPr>
            <w:rFonts w:ascii="Calibri" w:eastAsia="Calibri" w:hAnsi="Calibri" w:cs="Calibri"/>
            <w:color w:val="000000"/>
          </w:rPr>
          <w:t xml:space="preserve"> 15 (6): 188.</w:t>
        </w:r>
      </w:hyperlink>
    </w:p>
    <w:p w14:paraId="00000022"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proofErr w:type="spellStart"/>
      <w:r>
        <w:rPr>
          <w:rFonts w:ascii="Calibri" w:eastAsia="Calibri" w:hAnsi="Calibri" w:cs="Calibri"/>
          <w:color w:val="000000"/>
        </w:rPr>
        <w:t>Kepins</w:t>
      </w:r>
      <w:r>
        <w:rPr>
          <w:rFonts w:ascii="Calibri" w:eastAsia="Calibri" w:hAnsi="Calibri" w:cs="Calibri"/>
        </w:rPr>
        <w:t>ka</w:t>
      </w:r>
      <w:proofErr w:type="spellEnd"/>
      <w:r>
        <w:rPr>
          <w:rFonts w:ascii="Calibri" w:eastAsia="Calibri" w:hAnsi="Calibri" w:cs="Calibri"/>
        </w:rPr>
        <w:t xml:space="preserve"> A., Wisniewski P., </w:t>
      </w:r>
      <w:hyperlink r:id="rId32">
        <w:r>
          <w:rPr>
            <w:rFonts w:ascii="Calibri" w:eastAsia="Calibri" w:hAnsi="Calibri" w:cs="Calibri"/>
            <w:color w:val="000000"/>
          </w:rPr>
          <w:t xml:space="preserve">“Metaverse and Its Creative Potential for Visual Arts.” 2023. </w:t>
        </w:r>
      </w:hyperlink>
      <w:hyperlink r:id="rId33">
        <w:r>
          <w:rPr>
            <w:rFonts w:ascii="Calibri" w:eastAsia="Calibri" w:hAnsi="Calibri" w:cs="Calibri"/>
            <w:i/>
            <w:color w:val="000000"/>
          </w:rPr>
          <w:t xml:space="preserve">Acta Universitatis </w:t>
        </w:r>
        <w:proofErr w:type="spellStart"/>
        <w:r>
          <w:rPr>
            <w:rFonts w:ascii="Calibri" w:eastAsia="Calibri" w:hAnsi="Calibri" w:cs="Calibri"/>
            <w:i/>
            <w:color w:val="000000"/>
          </w:rPr>
          <w:t>Lodziensis</w:t>
        </w:r>
        <w:proofErr w:type="spellEnd"/>
        <w:r>
          <w:rPr>
            <w:rFonts w:ascii="Calibri" w:eastAsia="Calibri" w:hAnsi="Calibri" w:cs="Calibri"/>
            <w:i/>
            <w:color w:val="000000"/>
          </w:rPr>
          <w:t xml:space="preserve">. Folia </w:t>
        </w:r>
        <w:proofErr w:type="spellStart"/>
        <w:r>
          <w:rPr>
            <w:rFonts w:ascii="Calibri" w:eastAsia="Calibri" w:hAnsi="Calibri" w:cs="Calibri"/>
            <w:i/>
            <w:color w:val="000000"/>
          </w:rPr>
          <w:t>Sociologica</w:t>
        </w:r>
        <w:proofErr w:type="spellEnd"/>
      </w:hyperlink>
      <w:hyperlink r:id="rId34">
        <w:r>
          <w:rPr>
            <w:rFonts w:ascii="Calibri" w:eastAsia="Calibri" w:hAnsi="Calibri" w:cs="Calibri"/>
            <w:color w:val="000000"/>
          </w:rPr>
          <w:t>, no. 85: 57–75.</w:t>
        </w:r>
      </w:hyperlink>
    </w:p>
    <w:p w14:paraId="00000023"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35">
        <w:proofErr w:type="spellStart"/>
        <w:r>
          <w:rPr>
            <w:rFonts w:ascii="Calibri" w:eastAsia="Calibri" w:hAnsi="Calibri" w:cs="Calibri"/>
            <w:color w:val="000000"/>
          </w:rPr>
          <w:t>Panconesi</w:t>
        </w:r>
        <w:proofErr w:type="spellEnd"/>
        <w:r>
          <w:rPr>
            <w:rFonts w:ascii="Calibri" w:eastAsia="Calibri" w:hAnsi="Calibri" w:cs="Calibri"/>
            <w:color w:val="000000"/>
          </w:rPr>
          <w:t xml:space="preserve">, Gianni, and Maria Guida. 2021. </w:t>
        </w:r>
      </w:hyperlink>
      <w:hyperlink r:id="rId36">
        <w:r>
          <w:rPr>
            <w:rFonts w:ascii="Calibri" w:eastAsia="Calibri" w:hAnsi="Calibri" w:cs="Calibri"/>
            <w:i/>
            <w:color w:val="000000"/>
          </w:rPr>
          <w:t>Handbook of Research on Teaching With Virtual Environments and AI</w:t>
        </w:r>
      </w:hyperlink>
      <w:hyperlink r:id="rId37">
        <w:r>
          <w:rPr>
            <w:rFonts w:ascii="Calibri" w:eastAsia="Calibri" w:hAnsi="Calibri" w:cs="Calibri"/>
            <w:color w:val="000000"/>
          </w:rPr>
          <w:t>. IGI Global.</w:t>
        </w:r>
      </w:hyperlink>
    </w:p>
    <w:p w14:paraId="00000024"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38">
        <w:r>
          <w:rPr>
            <w:rFonts w:ascii="Calibri" w:eastAsia="Calibri" w:hAnsi="Calibri" w:cs="Calibri"/>
            <w:color w:val="000000"/>
          </w:rPr>
          <w:t xml:space="preserve">Pathak-Shelat, Manisha, and Bhakti Mehta. 2023. “The Future of Higher Education in Ethical Metaverse: Co-Existing in Virtually Enhanced Physical Reality.” In </w:t>
        </w:r>
      </w:hyperlink>
      <w:hyperlink r:id="rId39">
        <w:r>
          <w:rPr>
            <w:rFonts w:ascii="Calibri" w:eastAsia="Calibri" w:hAnsi="Calibri" w:cs="Calibri"/>
            <w:i/>
            <w:color w:val="000000"/>
          </w:rPr>
          <w:t>The Emergence of the Ethically-Engaged University</w:t>
        </w:r>
      </w:hyperlink>
      <w:hyperlink r:id="rId40">
        <w:r>
          <w:rPr>
            <w:rFonts w:ascii="Calibri" w:eastAsia="Calibri" w:hAnsi="Calibri" w:cs="Calibri"/>
            <w:color w:val="000000"/>
          </w:rPr>
          <w:t xml:space="preserve">, edited by Emiliano Bosio and Gustavo </w:t>
        </w:r>
        <w:proofErr w:type="spellStart"/>
        <w:r>
          <w:rPr>
            <w:rFonts w:ascii="Calibri" w:eastAsia="Calibri" w:hAnsi="Calibri" w:cs="Calibri"/>
            <w:color w:val="000000"/>
          </w:rPr>
          <w:t>Gregorutti</w:t>
        </w:r>
        <w:proofErr w:type="spellEnd"/>
        <w:r>
          <w:rPr>
            <w:rFonts w:ascii="Calibri" w:eastAsia="Calibri" w:hAnsi="Calibri" w:cs="Calibri"/>
            <w:color w:val="000000"/>
          </w:rPr>
          <w:t>, 137–57. Cham: Springer International Publishing.</w:t>
        </w:r>
      </w:hyperlink>
    </w:p>
    <w:p w14:paraId="00000025"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41">
        <w:r>
          <w:rPr>
            <w:rFonts w:ascii="Calibri" w:eastAsia="Calibri" w:hAnsi="Calibri" w:cs="Calibri"/>
            <w:color w:val="000000"/>
          </w:rPr>
          <w:t xml:space="preserve">Qin, Hua Xuan, and Pan Hui. 2023. “Empowering the Metaverse with Generative AI: Survey and Future Directions.” In </w:t>
        </w:r>
      </w:hyperlink>
      <w:hyperlink r:id="rId42">
        <w:r>
          <w:rPr>
            <w:rFonts w:ascii="Calibri" w:eastAsia="Calibri" w:hAnsi="Calibri" w:cs="Calibri"/>
            <w:i/>
            <w:color w:val="000000"/>
          </w:rPr>
          <w:t>2023 IEEE 43rd International Conference on Distributed Computing Systems Workshops (ICDCSW)</w:t>
        </w:r>
      </w:hyperlink>
      <w:hyperlink r:id="rId43">
        <w:r>
          <w:rPr>
            <w:rFonts w:ascii="Calibri" w:eastAsia="Calibri" w:hAnsi="Calibri" w:cs="Calibri"/>
            <w:color w:val="000000"/>
          </w:rPr>
          <w:t>, 85–90. IEEE.</w:t>
        </w:r>
      </w:hyperlink>
    </w:p>
    <w:p w14:paraId="00000026"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44">
        <w:r>
          <w:rPr>
            <w:rFonts w:ascii="Calibri" w:eastAsia="Calibri" w:hAnsi="Calibri" w:cs="Calibri"/>
            <w:color w:val="000000"/>
          </w:rPr>
          <w:t xml:space="preserve">Thien-Huynh The, Quoc-Viet Pham, Xuan-Qui Pham, Tan Do-Duy, and Thippa Reddy Gadekallu. 2023. “AI and Computer Vision Technologies for Metaverse.” </w:t>
        </w:r>
      </w:hyperlink>
      <w:hyperlink r:id="rId45">
        <w:r>
          <w:rPr>
            <w:rFonts w:ascii="Calibri" w:eastAsia="Calibri" w:hAnsi="Calibri" w:cs="Calibri"/>
            <w:i/>
            <w:color w:val="000000"/>
          </w:rPr>
          <w:t>Metaverse Communication and Computing Networks</w:t>
        </w:r>
      </w:hyperlink>
      <w:hyperlink r:id="rId46">
        <w:r>
          <w:rPr>
            <w:rFonts w:ascii="Calibri" w:eastAsia="Calibri" w:hAnsi="Calibri" w:cs="Calibri"/>
            <w:color w:val="000000"/>
          </w:rPr>
          <w:t>. Wiley. https://doi.org/</w:t>
        </w:r>
      </w:hyperlink>
      <w:hyperlink r:id="rId47">
        <w:r>
          <w:rPr>
            <w:rFonts w:ascii="Calibri" w:eastAsia="Calibri" w:hAnsi="Calibri" w:cs="Calibri"/>
            <w:color w:val="000000"/>
          </w:rPr>
          <w:t>10.1002/9781394160013.ch5</w:t>
        </w:r>
      </w:hyperlink>
      <w:hyperlink r:id="rId48">
        <w:r>
          <w:rPr>
            <w:rFonts w:ascii="Calibri" w:eastAsia="Calibri" w:hAnsi="Calibri" w:cs="Calibri"/>
            <w:color w:val="000000"/>
          </w:rPr>
          <w:t>.</w:t>
        </w:r>
      </w:hyperlink>
    </w:p>
    <w:p w14:paraId="00000027" w14:textId="77777777" w:rsidR="00340922" w:rsidRDefault="00693053">
      <w:pPr>
        <w:widowControl w:val="0"/>
        <w:pBdr>
          <w:top w:val="nil"/>
          <w:left w:val="nil"/>
          <w:bottom w:val="nil"/>
          <w:right w:val="nil"/>
          <w:between w:val="nil"/>
        </w:pBdr>
        <w:spacing w:line="240" w:lineRule="auto"/>
        <w:ind w:left="440" w:hanging="440"/>
        <w:rPr>
          <w:rFonts w:ascii="Calibri" w:eastAsia="Calibri" w:hAnsi="Calibri" w:cs="Calibri"/>
          <w:color w:val="000000"/>
        </w:rPr>
      </w:pPr>
      <w:hyperlink r:id="rId49">
        <w:r>
          <w:rPr>
            <w:rFonts w:ascii="Calibri" w:eastAsia="Calibri" w:hAnsi="Calibri" w:cs="Calibri"/>
            <w:color w:val="000000"/>
          </w:rPr>
          <w:t xml:space="preserve">Trending, </w:t>
        </w:r>
        <w:proofErr w:type="spellStart"/>
        <w:r>
          <w:rPr>
            <w:rFonts w:ascii="Calibri" w:eastAsia="Calibri" w:hAnsi="Calibri" w:cs="Calibri"/>
            <w:color w:val="000000"/>
          </w:rPr>
          <w:t>Nft</w:t>
        </w:r>
        <w:proofErr w:type="spellEnd"/>
        <w:r>
          <w:rPr>
            <w:rFonts w:ascii="Calibri" w:eastAsia="Calibri" w:hAnsi="Calibri" w:cs="Calibri"/>
            <w:color w:val="000000"/>
          </w:rPr>
          <w:t xml:space="preserve">. 2021. </w:t>
        </w:r>
      </w:hyperlink>
      <w:hyperlink r:id="rId50">
        <w:r>
          <w:rPr>
            <w:rFonts w:ascii="Calibri" w:eastAsia="Calibri" w:hAnsi="Calibri" w:cs="Calibri"/>
            <w:i/>
            <w:color w:val="000000"/>
          </w:rPr>
          <w:t>NFT (Non Fungible Tokens), Guide; Buying, Selling, Trading, Investing in Crypto Collectibles Art. Create Wealth and Build Assets: Or Become a NFT Digital Artist with Easy How To Instructions</w:t>
        </w:r>
      </w:hyperlink>
      <w:hyperlink r:id="rId51">
        <w:r>
          <w:rPr>
            <w:rFonts w:ascii="Calibri" w:eastAsia="Calibri" w:hAnsi="Calibri" w:cs="Calibri"/>
            <w:color w:val="000000"/>
          </w:rPr>
          <w:t>. NFT Cryptocurrency Investment Guides.</w:t>
        </w:r>
      </w:hyperlink>
    </w:p>
    <w:p w14:paraId="00000029" w14:textId="228A0E41" w:rsidR="00340922" w:rsidRPr="00693053" w:rsidRDefault="00693053" w:rsidP="00693053">
      <w:pPr>
        <w:widowControl w:val="0"/>
        <w:pBdr>
          <w:top w:val="nil"/>
          <w:left w:val="nil"/>
          <w:bottom w:val="nil"/>
          <w:right w:val="nil"/>
          <w:between w:val="nil"/>
        </w:pBdr>
        <w:spacing w:after="220" w:line="240" w:lineRule="auto"/>
        <w:ind w:left="440" w:hanging="440"/>
        <w:rPr>
          <w:rFonts w:ascii="Calibri" w:eastAsia="Calibri" w:hAnsi="Calibri" w:cs="Calibri"/>
          <w:color w:val="000000"/>
        </w:rPr>
      </w:pPr>
      <w:hyperlink r:id="rId52">
        <w:r>
          <w:rPr>
            <w:rFonts w:ascii="Calibri" w:eastAsia="Calibri" w:hAnsi="Calibri" w:cs="Calibri"/>
            <w:color w:val="000000"/>
          </w:rPr>
          <w:t xml:space="preserve">Wiederhold, Brenda K. 2023. “Treading Carefully in the Metaverse: The Evolution of AI Avatars.” </w:t>
        </w:r>
      </w:hyperlink>
      <w:hyperlink r:id="rId53">
        <w:r>
          <w:rPr>
            <w:rFonts w:ascii="Calibri" w:eastAsia="Calibri" w:hAnsi="Calibri" w:cs="Calibri"/>
            <w:i/>
            <w:color w:val="000000"/>
          </w:rPr>
          <w:t>Cyberpsychology, Behavior and Social Networking</w:t>
        </w:r>
      </w:hyperlink>
      <w:hyperlink r:id="rId54">
        <w:r>
          <w:rPr>
            <w:rFonts w:ascii="Calibri" w:eastAsia="Calibri" w:hAnsi="Calibri" w:cs="Calibri"/>
            <w:color w:val="000000"/>
          </w:rPr>
          <w:t xml:space="preserve"> 26 (5): 321–22.</w:t>
        </w:r>
      </w:hyperlink>
    </w:p>
    <w:sectPr w:rsidR="00340922" w:rsidRPr="00693053">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3C8AE58A-30FA-40D4-99A8-B61CB8D6D658}"/>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1042AA9-14A9-402E-A541-BC082E00C1F1}"/>
    <w:embedBold r:id="rId3" w:fontKey="{FBAFDC42-404B-4FF2-ABC7-7C865F75CAAF}"/>
    <w:embedItalic r:id="rId4" w:fontKey="{153FA769-67B8-43F2-837E-5D6E70815D32}"/>
  </w:font>
  <w:font w:name="Cambria">
    <w:panose1 w:val="02040503050406030204"/>
    <w:charset w:val="EE"/>
    <w:family w:val="roman"/>
    <w:pitch w:val="variable"/>
    <w:sig w:usb0="E00006FF" w:usb1="420024FF" w:usb2="02000000" w:usb3="00000000" w:csb0="0000019F" w:csb1="00000000"/>
    <w:embedRegular r:id="rId5" w:fontKey="{84A033D1-3882-47D0-A948-9E5F86AB8B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81742"/>
    <w:multiLevelType w:val="multilevel"/>
    <w:tmpl w:val="E3B08324"/>
    <w:lvl w:ilvl="0">
      <w:start w:val="1"/>
      <w:numFmt w:val="bullet"/>
      <w:lvlText w:val=""/>
      <w:lvlJc w:val="left"/>
      <w:pPr>
        <w:ind w:left="720" w:hanging="360"/>
      </w:pPr>
      <w:rPr>
        <w:rFonts w:ascii="Roboto" w:eastAsia="Roboto" w:hAnsi="Roboto" w:cs="Roboto"/>
        <w:color w:val="0F0F0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6218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922"/>
    <w:rsid w:val="00340922"/>
    <w:rsid w:val="004C7E4C"/>
    <w:rsid w:val="00693053"/>
    <w:rsid w:val="009D2F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C19B8"/>
  <w15:docId w15:val="{64B71A57-08EC-4A62-BE31-F94558340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aperpile.com/c/LiwsU1/J7ee" TargetMode="External"/><Relationship Id="rId18" Type="http://schemas.openxmlformats.org/officeDocument/2006/relationships/hyperlink" Target="https://paperpile.com/c/LiwsU1/ikPY" TargetMode="External"/><Relationship Id="rId26" Type="http://schemas.openxmlformats.org/officeDocument/2006/relationships/hyperlink" Target="http://paperpile.com/b/LiwsU1/aO4n" TargetMode="External"/><Relationship Id="rId39" Type="http://schemas.openxmlformats.org/officeDocument/2006/relationships/hyperlink" Target="http://paperpile.com/b/LiwsU1/O13v" TargetMode="External"/><Relationship Id="rId21" Type="http://schemas.openxmlformats.org/officeDocument/2006/relationships/hyperlink" Target="http://paperpile.com/b/LiwsU1/UmY6" TargetMode="External"/><Relationship Id="rId34" Type="http://schemas.openxmlformats.org/officeDocument/2006/relationships/hyperlink" Target="http://paperpile.com/b/LiwsU1/FbIH" TargetMode="External"/><Relationship Id="rId42" Type="http://schemas.openxmlformats.org/officeDocument/2006/relationships/hyperlink" Target="http://paperpile.com/b/LiwsU1/4wKv" TargetMode="External"/><Relationship Id="rId47" Type="http://schemas.openxmlformats.org/officeDocument/2006/relationships/hyperlink" Target="http://dx.doi.org/10.1002/9781394160013.ch5" TargetMode="External"/><Relationship Id="rId50" Type="http://schemas.openxmlformats.org/officeDocument/2006/relationships/hyperlink" Target="http://paperpile.com/b/LiwsU1/2PSe" TargetMode="External"/><Relationship Id="rId55" Type="http://schemas.openxmlformats.org/officeDocument/2006/relationships/fontTable" Target="fontTable.xml"/><Relationship Id="rId7" Type="http://schemas.openxmlformats.org/officeDocument/2006/relationships/hyperlink" Target="https://paperpile.com/c/LiwsU1/FbIH" TargetMode="External"/><Relationship Id="rId2" Type="http://schemas.openxmlformats.org/officeDocument/2006/relationships/styles" Target="styles.xml"/><Relationship Id="rId16" Type="http://schemas.openxmlformats.org/officeDocument/2006/relationships/hyperlink" Target="https://paperpile.com/c/LiwsU1/O13v" TargetMode="External"/><Relationship Id="rId29" Type="http://schemas.openxmlformats.org/officeDocument/2006/relationships/hyperlink" Target="http://paperpile.com/b/LiwsU1/IejG" TargetMode="External"/><Relationship Id="rId11" Type="http://schemas.openxmlformats.org/officeDocument/2006/relationships/hyperlink" Target="https://paperpile.com/c/LiwsU1/2PSe" TargetMode="External"/><Relationship Id="rId24" Type="http://schemas.openxmlformats.org/officeDocument/2006/relationships/hyperlink" Target="http://paperpile.com/b/LiwsU1/BpA5" TargetMode="External"/><Relationship Id="rId32" Type="http://schemas.openxmlformats.org/officeDocument/2006/relationships/hyperlink" Target="http://paperpile.com/b/LiwsU1/FbIH" TargetMode="External"/><Relationship Id="rId37" Type="http://schemas.openxmlformats.org/officeDocument/2006/relationships/hyperlink" Target="http://paperpile.com/b/LiwsU1/J7ee" TargetMode="External"/><Relationship Id="rId40" Type="http://schemas.openxmlformats.org/officeDocument/2006/relationships/hyperlink" Target="http://paperpile.com/b/LiwsU1/O13v" TargetMode="External"/><Relationship Id="rId45" Type="http://schemas.openxmlformats.org/officeDocument/2006/relationships/hyperlink" Target="http://paperpile.com/b/LiwsU1/O68y" TargetMode="External"/><Relationship Id="rId53" Type="http://schemas.openxmlformats.org/officeDocument/2006/relationships/hyperlink" Target="http://paperpile.com/b/LiwsU1/WaJM" TargetMode="External"/><Relationship Id="rId5" Type="http://schemas.openxmlformats.org/officeDocument/2006/relationships/hyperlink" Target="https://paperpile.com/c/LiwsU1/FbIH" TargetMode="External"/><Relationship Id="rId10" Type="http://schemas.openxmlformats.org/officeDocument/2006/relationships/hyperlink" Target="https://paperpile.com/c/LiwsU1/4wKv" TargetMode="External"/><Relationship Id="rId19" Type="http://schemas.openxmlformats.org/officeDocument/2006/relationships/hyperlink" Target="http://paperpile.com/b/LiwsU1/UmY6" TargetMode="External"/><Relationship Id="rId31" Type="http://schemas.openxmlformats.org/officeDocument/2006/relationships/hyperlink" Target="http://paperpile.com/b/LiwsU1/IejG" TargetMode="External"/><Relationship Id="rId44" Type="http://schemas.openxmlformats.org/officeDocument/2006/relationships/hyperlink" Target="http://paperpile.com/b/LiwsU1/O68y" TargetMode="External"/><Relationship Id="rId52" Type="http://schemas.openxmlformats.org/officeDocument/2006/relationships/hyperlink" Target="http://paperpile.com/b/LiwsU1/WaJM" TargetMode="External"/><Relationship Id="rId4" Type="http://schemas.openxmlformats.org/officeDocument/2006/relationships/webSettings" Target="webSettings.xml"/><Relationship Id="rId9" Type="http://schemas.openxmlformats.org/officeDocument/2006/relationships/hyperlink" Target="https://paperpile.com/c/LiwsU1/IejG" TargetMode="External"/><Relationship Id="rId14" Type="http://schemas.openxmlformats.org/officeDocument/2006/relationships/hyperlink" Target="https://paperpile.com/c/LiwsU1/O68y" TargetMode="External"/><Relationship Id="rId22" Type="http://schemas.openxmlformats.org/officeDocument/2006/relationships/hyperlink" Target="http://paperpile.com/b/LiwsU1/BpA5" TargetMode="External"/><Relationship Id="rId27" Type="http://schemas.openxmlformats.org/officeDocument/2006/relationships/hyperlink" Target="http://paperpile.com/b/LiwsU1/aO4n" TargetMode="External"/><Relationship Id="rId30" Type="http://schemas.openxmlformats.org/officeDocument/2006/relationships/hyperlink" Target="http://paperpile.com/b/LiwsU1/IejG" TargetMode="External"/><Relationship Id="rId35" Type="http://schemas.openxmlformats.org/officeDocument/2006/relationships/hyperlink" Target="http://paperpile.com/b/LiwsU1/J7ee" TargetMode="External"/><Relationship Id="rId43" Type="http://schemas.openxmlformats.org/officeDocument/2006/relationships/hyperlink" Target="http://paperpile.com/b/LiwsU1/4wKv" TargetMode="External"/><Relationship Id="rId48" Type="http://schemas.openxmlformats.org/officeDocument/2006/relationships/hyperlink" Target="http://paperpile.com/b/LiwsU1/O68y" TargetMode="External"/><Relationship Id="rId56" Type="http://schemas.openxmlformats.org/officeDocument/2006/relationships/theme" Target="theme/theme1.xml"/><Relationship Id="rId8" Type="http://schemas.openxmlformats.org/officeDocument/2006/relationships/hyperlink" Target="https://paperpile.com/c/LiwsU1/aO4n" TargetMode="External"/><Relationship Id="rId51" Type="http://schemas.openxmlformats.org/officeDocument/2006/relationships/hyperlink" Target="http://paperpile.com/b/LiwsU1/2PSe" TargetMode="External"/><Relationship Id="rId3" Type="http://schemas.openxmlformats.org/officeDocument/2006/relationships/settings" Target="settings.xml"/><Relationship Id="rId12" Type="http://schemas.openxmlformats.org/officeDocument/2006/relationships/hyperlink" Target="https://paperpile.com/c/LiwsU1/WaJM" TargetMode="External"/><Relationship Id="rId17" Type="http://schemas.openxmlformats.org/officeDocument/2006/relationships/hyperlink" Target="https://paperpile.com/c/LiwsU1/BpA5" TargetMode="External"/><Relationship Id="rId25" Type="http://schemas.openxmlformats.org/officeDocument/2006/relationships/hyperlink" Target="http://paperpile.com/b/LiwsU1/ikPY" TargetMode="External"/><Relationship Id="rId33" Type="http://schemas.openxmlformats.org/officeDocument/2006/relationships/hyperlink" Target="http://paperpile.com/b/LiwsU1/FbIH" TargetMode="External"/><Relationship Id="rId38" Type="http://schemas.openxmlformats.org/officeDocument/2006/relationships/hyperlink" Target="http://paperpile.com/b/LiwsU1/O13v" TargetMode="External"/><Relationship Id="rId46" Type="http://schemas.openxmlformats.org/officeDocument/2006/relationships/hyperlink" Target="http://paperpile.com/b/LiwsU1/O68y" TargetMode="External"/><Relationship Id="rId20" Type="http://schemas.openxmlformats.org/officeDocument/2006/relationships/hyperlink" Target="http://paperpile.com/b/LiwsU1/UmY6" TargetMode="External"/><Relationship Id="rId41" Type="http://schemas.openxmlformats.org/officeDocument/2006/relationships/hyperlink" Target="http://paperpile.com/b/LiwsU1/4wKv" TargetMode="External"/><Relationship Id="rId54" Type="http://schemas.openxmlformats.org/officeDocument/2006/relationships/hyperlink" Target="http://paperpile.com/b/LiwsU1/WaJM" TargetMode="External"/><Relationship Id="rId1" Type="http://schemas.openxmlformats.org/officeDocument/2006/relationships/numbering" Target="numbering.xml"/><Relationship Id="rId6" Type="http://schemas.openxmlformats.org/officeDocument/2006/relationships/hyperlink" Target="https://paperpile.com/c/LiwsU1/FbIH" TargetMode="External"/><Relationship Id="rId15" Type="http://schemas.openxmlformats.org/officeDocument/2006/relationships/hyperlink" Target="https://paperpile.com/c/LiwsU1/UmY6" TargetMode="External"/><Relationship Id="rId23" Type="http://schemas.openxmlformats.org/officeDocument/2006/relationships/hyperlink" Target="http://paperpile.com/b/LiwsU1/BpA5" TargetMode="External"/><Relationship Id="rId28" Type="http://schemas.openxmlformats.org/officeDocument/2006/relationships/hyperlink" Target="http://paperpile.com/b/LiwsU1/aO4n" TargetMode="External"/><Relationship Id="rId36" Type="http://schemas.openxmlformats.org/officeDocument/2006/relationships/hyperlink" Target="http://paperpile.com/b/LiwsU1/J7ee" TargetMode="External"/><Relationship Id="rId49" Type="http://schemas.openxmlformats.org/officeDocument/2006/relationships/hyperlink" Target="http://paperpile.com/b/LiwsU1/2P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2035</Words>
  <Characters>12212</Characters>
  <Application>Microsoft Office Word</Application>
  <DocSecurity>0</DocSecurity>
  <Lines>101</Lines>
  <Paragraphs>28</Paragraphs>
  <ScaleCrop>false</ScaleCrop>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Sylwia Grzegrzółka</cp:lastModifiedBy>
  <cp:revision>3</cp:revision>
  <dcterms:created xsi:type="dcterms:W3CDTF">2025-05-21T10:04:00Z</dcterms:created>
  <dcterms:modified xsi:type="dcterms:W3CDTF">2025-05-21T10:05:00Z</dcterms:modified>
</cp:coreProperties>
</file>