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975" w:rsidRPr="00EB5975" w:rsidRDefault="00EB5975" w:rsidP="00EB5975">
      <w:pPr>
        <w:spacing w:before="60" w:after="240" w:line="240" w:lineRule="auto"/>
        <w:ind w:left="1560" w:hanging="1560"/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</w:pPr>
      <w:bookmarkStart w:id="0" w:name="_Toc290459688"/>
      <w:bookmarkStart w:id="1" w:name="_Toc300924297"/>
      <w:r w:rsidRPr="00EB5975">
        <w:rPr>
          <w:rFonts w:ascii="Times New Roman" w:eastAsia="Times New Roman" w:hAnsi="Times New Roman" w:cs="Times New Roman"/>
          <w:b/>
          <w:smallCaps/>
          <w:sz w:val="28"/>
          <w:szCs w:val="20"/>
          <w:lang w:eastAsia="pl-PL"/>
        </w:rPr>
        <w:t>D – 04.05.01. Podbudowa i ulepszenie podłoża z kruszywa stabilizowanego cementem</w:t>
      </w:r>
      <w:bookmarkEnd w:id="0"/>
      <w:bookmarkEnd w:id="1"/>
    </w:p>
    <w:p w:rsidR="00EB5975" w:rsidRPr="00EB5975" w:rsidRDefault="00EB5975" w:rsidP="00EB5975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1. WSTĘP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1.1. Przedmiot SST</w:t>
      </w:r>
    </w:p>
    <w:p w:rsid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Przedmiotem niniejszej szczegółowej specyfikacji technicznej (SST) są wymagania ogólne dotyczące wykonania i odbioru robót związanych z wykonywaniem podbudowy i ulepszonego podłoża z gruntu lub kruszywa stabilizowanego cementem, które zostaną wykonane w ramach</w:t>
      </w:r>
      <w:r w:rsidR="00E3756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zadania pn.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924795" w:rsidRPr="00EB5975" w:rsidRDefault="00E3756D" w:rsidP="00E3756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18"/>
          <w:szCs w:val="18"/>
        </w:rPr>
        <w:t>„Budowa ulicy Kusocińskiego (drogi gminnej klasy D) w Strzyżowie wraz z jednostronnym chodnikiem”</w:t>
      </w:r>
      <w:bookmarkStart w:id="2" w:name="_GoBack"/>
      <w:bookmarkEnd w:id="2"/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1.2. Zakres stosowania SST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Szczegółowa specyfikacja techniczna (SST) stanowi dokument przetargowy i kontraktowy przy zlecaniu i realizacji robót zgodnie z dokumentacją projektową.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1.3. Zakres robót objętych SST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Ustalenia zawarte w niniejszej specyfikacji dotyczą zasad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prowadzenia robót związanych z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wykonaniem podbudowy i ulepszonego podłoża z gruntu lub kruszywa stabilizowanego cementem wg PN-S-96012 [17].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Grunty lub kruszywa stabilizowane cementem mogą być stosowane do wykonania podbudów zasadniczych, pomocniczych i ulepszonego podłoża wg Katalogu typowych kons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trukcji nawierzchni podatnych i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półsztywnych [29].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1.4. Określenia podstawowe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1.4.1. 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Podbudowa z gruntu stabilizowanego cementem - jedna lub dwie warstwy zagęszczonej mieszanki cementowo-gruntowej, która po osiągnięciu właściwej wytrzymałości na ściskanie, stanowi fragment nośnej części nawierzchni drogowej.</w:t>
      </w:r>
    </w:p>
    <w:p w:rsidR="00EB5975" w:rsidRPr="00EB5975" w:rsidRDefault="00EB5975" w:rsidP="00EB5975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1.4.2. 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Mieszanka cementowo-gruntowa - mieszanka gruntu, cementu i wody, a w razie potrzeby również dodatków ulepszających, np. popiołów lotnych lub chlorku wapniowego, dobranych w optymalnych ilościach.</w:t>
      </w:r>
    </w:p>
    <w:p w:rsidR="00EB5975" w:rsidRPr="00EB5975" w:rsidRDefault="00EB5975" w:rsidP="00EB5975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1.4.3. 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Grunt stabilizowany cementem - mieszanka cementowo-gruntowa zagęszczona i stwardniała w wyniku ukończenia procesu wiązania cementu.</w:t>
      </w:r>
    </w:p>
    <w:p w:rsidR="00EB5975" w:rsidRPr="00EB5975" w:rsidRDefault="00EB5975" w:rsidP="00EB5975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1.4.4. 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Kruszywo stabilizowane cementem - mieszanka kruszywa naturalnego, cementu i wody, a w razie potrzeby dodatków ulepszających, np. popiołów lotnych lub chlorku wapniowego, dobranych w optymalnych ilościach, zagęszczona i stwardniała w wyniku ukończenia procesu wiązania cementu.</w:t>
      </w:r>
    </w:p>
    <w:p w:rsidR="00EB5975" w:rsidRPr="00EB5975" w:rsidRDefault="00EB5975" w:rsidP="00EB5975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1.4.5. 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Podłoże gruntowe ulepszone cementem - jedna lub dwie warstwy zagęszczonej mieszanki cementowo-gruntowej, na której układana jest warstwa podbudowy.</w:t>
      </w:r>
    </w:p>
    <w:p w:rsidR="00EB5975" w:rsidRPr="00EB5975" w:rsidRDefault="00EB5975" w:rsidP="00EB5975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1.4.6. 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Pozostałe określenia są zgodne z obowiązującymi, odpowiednimi polskimi normami i z definicjami podanymi w OST D-M-00.00.00 „Wymagania ogólne” pkt 1.4.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1.5. Ogólne wymagania dotyczące robót</w:t>
      </w:r>
    </w:p>
    <w:p w:rsidR="00EB5975" w:rsidRPr="00EB5975" w:rsidRDefault="00EB5975" w:rsidP="00EB597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robót podano w SST D-04.05.00      „Podbudowy i ulepszone podłoże z gruntów lub kruszyw stabilizowanych spoiwami hydraulicznymi. Wymagania ogólne”  pkt 1.5.</w:t>
      </w:r>
    </w:p>
    <w:p w:rsidR="00EB5975" w:rsidRPr="00EB5975" w:rsidRDefault="00EB5975" w:rsidP="00EB5975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2. materiały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2.1. Ogólne wymagania dotyczące materiałów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materiałów, ich pozyskiwania i składowania, podano w SST D-04.05.00      „Podbudowy i ulepszone podłoże z gruntów lub kruszyw stabilizowanych spoiwami hydraulicznymi. Wymagania ogólne”  pkt 2.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2.2. Cement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 stosować cement portlandzki klasy 32,5 wg PN-B-19701 [11], portlandzki z dodatkami wg PN-B-19701 [11] lub hutniczy wg PN-B-19701 [11].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Wymagania dla cementu zestawiono w tablicy 1.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EB5975" w:rsidRPr="00EB5975" w:rsidRDefault="00EB5975" w:rsidP="00EB59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Właściwości mechaniczne i fizyczne cementu wg PN-B-19701 [11]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4"/>
        <w:gridCol w:w="1770"/>
      </w:tblGrid>
      <w:tr w:rsidR="00EB5975" w:rsidRPr="00EB5975" w:rsidTr="002F2C35">
        <w:trPr>
          <w:trHeight w:val="225"/>
        </w:trPr>
        <w:tc>
          <w:tcPr>
            <w:tcW w:w="496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4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Klasa cementu</w:t>
            </w:r>
          </w:p>
        </w:tc>
      </w:tr>
      <w:tr w:rsidR="00EB5975" w:rsidRPr="00EB5975" w:rsidTr="002F2C35">
        <w:trPr>
          <w:trHeight w:val="22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B5975" w:rsidRPr="00EB5975" w:rsidRDefault="00EB5975" w:rsidP="00EB597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B5975" w:rsidRPr="00EB5975" w:rsidRDefault="00EB5975" w:rsidP="00EB597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32,5</w:t>
            </w:r>
          </w:p>
        </w:tc>
      </w:tr>
      <w:tr w:rsidR="00EB5975" w:rsidRPr="00EB5975" w:rsidTr="002F2C35">
        <w:trPr>
          <w:trHeight w:val="420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Wytrzymałość na ściskanie (</w:t>
            </w:r>
            <w:proofErr w:type="spellStart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MPa</w:t>
            </w:r>
            <w:proofErr w:type="spellEnd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), po 7 dniach, nie mniej niż:</w:t>
            </w:r>
          </w:p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cement portlandzki bez dodatków</w:t>
            </w:r>
          </w:p>
        </w:tc>
        <w:tc>
          <w:tcPr>
            <w:tcW w:w="17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</w:tr>
      <w:tr w:rsidR="00EB5975" w:rsidRPr="00EB5975" w:rsidTr="002F2C35">
        <w:trPr>
          <w:trHeight w:val="130"/>
        </w:trPr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13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after="0" w:line="1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cement hutniczy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13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</w:tr>
      <w:tr w:rsidR="00EB5975" w:rsidRPr="00EB5975" w:rsidTr="002F2C35">
        <w:trPr>
          <w:trHeight w:val="34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cement portlandzki z dodatkami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</w:tr>
      <w:tr w:rsidR="00EB5975" w:rsidRPr="00EB5975" w:rsidTr="002F2C35"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Wytrzymałość na ściskanie (</w:t>
            </w:r>
            <w:proofErr w:type="spellStart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MPa</w:t>
            </w:r>
            <w:proofErr w:type="spellEnd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), po 28 dniach, nie mniej niż: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32,5</w:t>
            </w:r>
          </w:p>
        </w:tc>
      </w:tr>
      <w:tr w:rsidR="00EB5975" w:rsidRPr="00EB5975" w:rsidTr="002F2C35">
        <w:trPr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B5975" w:rsidRPr="00EB5975" w:rsidRDefault="00EB5975" w:rsidP="00EB597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wiązania:</w:t>
            </w:r>
          </w:p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początek wiązania, najwcześniej po upływie, min.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B5975" w:rsidRPr="00EB5975" w:rsidRDefault="00EB5975" w:rsidP="00EB597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</w:tr>
      <w:tr w:rsidR="00EB5975" w:rsidRPr="00EB5975" w:rsidTr="002F2C35">
        <w:trPr>
          <w:trHeight w:val="3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koniec wiązania, najpóźniej po upływie, h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</w:tr>
      <w:tr w:rsidR="00EB5975" w:rsidRPr="00EB5975" w:rsidTr="002F2C35"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Stałość objętości, mm, nie więcej niż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</w:tbl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Badania cementu należy wykonać zgodnie z PN-B-04300 [1].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Przechowywanie cementu powinno odbywać się zgodnie z BN-88/6731-08 [19].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 przypadku, gdy czas przechowywania cementu będzie dłuższy od trzech miesięcy, można go stosować za zgodą 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tylko wtedy, gdy badania laboratoryjne wykażą jego przydatność do robót.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2.3. Grunty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Przydatność gruntów przeznaczonych do stabilizacji cementem należy ocenić na podstawie wyników badań laboratoryjnych, wykonanych według metod podanych w PN-S-96012 [17].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wykonania podbudów i ulepszonego podłoża z gruntów stabilizowanych cementem należy stosować grunty spełniające wymagania podane w tablicy 2.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Grunt można uznać za przydatny do stabilizacji cementem wtedy, gdy wyniki badań laboratoryjnych wykażą, że wytrzymałość na ściskanie i mrozoodporność próbek gru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ntu stabilizowanego są zgodne z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wymaganiami określonymi w p. 2.7 tablica 4.</w:t>
      </w:r>
    </w:p>
    <w:p w:rsidR="00EB5975" w:rsidRPr="00EB5975" w:rsidRDefault="00EB5975" w:rsidP="00EB597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2. Wymagania dla gruntów przeznaczonych do stabilizacji cementem wg PN-S-96012 [17]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953"/>
        <w:gridCol w:w="1107"/>
        <w:gridCol w:w="1626"/>
      </w:tblGrid>
      <w:tr w:rsidR="00EB5975" w:rsidRPr="00EB5975" w:rsidTr="0092479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według</w:t>
            </w:r>
          </w:p>
        </w:tc>
      </w:tr>
      <w:tr w:rsidR="00EB5975" w:rsidRPr="00EB5975" w:rsidTr="00924795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tabs>
                <w:tab w:val="left" w:pos="709"/>
                <w:tab w:val="center" w:pos="4252"/>
                <w:tab w:val="right" w:pos="8504"/>
              </w:tabs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b/>
                <w:i/>
                <w:sz w:val="16"/>
                <w:szCs w:val="20"/>
                <w:lang w:eastAsia="pl-PL"/>
              </w:rPr>
              <w:t>Uziarnienie</w:t>
            </w:r>
          </w:p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a)</w:t>
            </w:r>
            <w:r w:rsidRPr="00EB5975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     </w:t>
            </w:r>
            <w:proofErr w:type="spellStart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ziarn</w:t>
            </w:r>
            <w:proofErr w:type="spellEnd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przechodzących przez sito # </w:t>
            </w:r>
            <w:smartTag w:uri="urn:schemas-microsoft-com:office:smarttags" w:element="metricconverter">
              <w:smartTagPr>
                <w:attr w:name="ProductID" w:val="40 mm"/>
              </w:smartTagPr>
              <w:r w:rsidRPr="00EB5975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40 mm</w:t>
              </w:r>
            </w:smartTag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% (m/m), nie mniej niż:</w:t>
            </w:r>
          </w:p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b)</w:t>
            </w:r>
            <w:r w:rsidRPr="00EB5975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    </w:t>
            </w:r>
            <w:proofErr w:type="spellStart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ziarn</w:t>
            </w:r>
            <w:proofErr w:type="spellEnd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przechodzących przez sito #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EB5975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20 mm</w:t>
              </w:r>
            </w:smartTag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% (m/m), powyżej</w:t>
            </w:r>
          </w:p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c)</w:t>
            </w:r>
            <w:r w:rsidRPr="00EB5975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     </w:t>
            </w:r>
            <w:proofErr w:type="spellStart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ziarn</w:t>
            </w:r>
            <w:proofErr w:type="spellEnd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przechodzących przez sito #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EB5975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4 mm</w:t>
              </w:r>
            </w:smartTag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% (m/m), powyżej</w:t>
            </w:r>
          </w:p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d)</w:t>
            </w:r>
            <w:r w:rsidRPr="00EB5975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    </w:t>
            </w: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cząstek mniejszych od </w:t>
            </w:r>
            <w:smartTag w:uri="urn:schemas-microsoft-com:office:smarttags" w:element="metricconverter">
              <w:smartTagPr>
                <w:attr w:name="ProductID" w:val="0,002 mm"/>
              </w:smartTagPr>
              <w:r w:rsidRPr="00EB5975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0,002 mm</w:t>
              </w:r>
            </w:smartTag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% (m/m), poniżej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EB5975" w:rsidRPr="00EB5975" w:rsidRDefault="00EB5975" w:rsidP="0092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100</w:t>
            </w:r>
          </w:p>
          <w:p w:rsidR="00EB5975" w:rsidRPr="00EB5975" w:rsidRDefault="00EB5975" w:rsidP="0092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85</w:t>
            </w:r>
          </w:p>
          <w:p w:rsidR="00EB5975" w:rsidRPr="00EB5975" w:rsidRDefault="00EB5975" w:rsidP="0092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  <w:p w:rsidR="00EB5975" w:rsidRPr="00EB5975" w:rsidRDefault="00EB5975" w:rsidP="009247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6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B5975" w:rsidRPr="00EB5975" w:rsidRDefault="00EB5975" w:rsidP="009247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PN-B-04481 [2]</w:t>
            </w:r>
          </w:p>
        </w:tc>
      </w:tr>
      <w:tr w:rsidR="00EB5975" w:rsidRPr="00EB5975" w:rsidTr="0092479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Granica płynności, % (m/m), nie więcej niż: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PN-B-04481 [2]</w:t>
            </w:r>
          </w:p>
        </w:tc>
      </w:tr>
      <w:tr w:rsidR="00EB5975" w:rsidRPr="00EB5975" w:rsidTr="0092479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 plastyczności, % (m/m), nie więcej niż: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PN-B-04481 [2]</w:t>
            </w:r>
          </w:p>
        </w:tc>
      </w:tr>
      <w:tr w:rsidR="00EB5975" w:rsidRPr="00EB5975" w:rsidTr="0092479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Odczyn </w:t>
            </w:r>
            <w:proofErr w:type="spellStart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pH</w:t>
            </w:r>
            <w:proofErr w:type="spellEnd"/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5 do 8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PN-B-04481 [2]</w:t>
            </w:r>
          </w:p>
        </w:tc>
      </w:tr>
      <w:tr w:rsidR="00EB5975" w:rsidRPr="00EB5975" w:rsidTr="0092479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części organicznych, % (m/m), nie więcej niż: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92479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92479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PN-B-04481 [2]</w:t>
            </w:r>
          </w:p>
        </w:tc>
      </w:tr>
      <w:tr w:rsidR="00EB5975" w:rsidRPr="00EB5975" w:rsidTr="0092479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92479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siarczanów, w przeliczeniu na SO</w:t>
            </w: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3</w:t>
            </w: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 % (m/m), nie więcej niż: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92479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92479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w w:val="90"/>
                <w:sz w:val="20"/>
                <w:szCs w:val="20"/>
                <w:lang w:eastAsia="pl-PL"/>
              </w:rPr>
              <w:t>PN-B-06714-28 [6]</w:t>
            </w:r>
          </w:p>
        </w:tc>
      </w:tr>
    </w:tbl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Grunty nie spełniające wymagań określonych w tablicy 2, mogą być poddane stabilizacji po uprzednim ulepszeniu chlorkiem wapniowym, wapnem, popiołami lotnymi.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Grunty o granicy płynności od 40 do 60 % i wskaźniku plastyczności od 15 do 30 % mogą być stabilizowane cementem dla podbudów pomocniczych i ulepszonego podłoża pod warunkiem użycia specjalnych maszyn, umożliwiających ich rozdrobnienie i przemieszanie z cementem.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Dodatkowe kryteria oceny przydatności gruntu do stabilizacji cementem; zaleca się użycie gruntów o:</w:t>
      </w:r>
    </w:p>
    <w:p w:rsidR="00EB5975" w:rsidRPr="00EB5975" w:rsidRDefault="00EB5975" w:rsidP="00EB59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EB5975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wskaźniku piaskowym od 20 do 50, wg BN-64/8931-01 [20],</w:t>
      </w:r>
    </w:p>
    <w:p w:rsidR="00EB5975" w:rsidRPr="00EB5975" w:rsidRDefault="00EB5975" w:rsidP="00EB59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EB5975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zawartości </w:t>
      </w:r>
      <w:proofErr w:type="spellStart"/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ziarn</w:t>
      </w:r>
      <w:proofErr w:type="spellEnd"/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pozostających na sicie # </w:t>
      </w:r>
      <w:smartTag w:uri="urn:schemas-microsoft-com:office:smarttags" w:element="metricconverter">
        <w:smartTagPr>
          <w:attr w:name="ProductID" w:val="2 mm"/>
        </w:smartTagPr>
        <w:r w:rsidRPr="00EB5975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 mm</w:t>
        </w:r>
      </w:smartTag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co najmniej 30%,</w:t>
      </w:r>
    </w:p>
    <w:p w:rsidR="00EB5975" w:rsidRPr="00EB5975" w:rsidRDefault="00EB5975" w:rsidP="00EB59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EB5975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zawartości </w:t>
      </w:r>
      <w:proofErr w:type="spellStart"/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ziarn</w:t>
      </w:r>
      <w:proofErr w:type="spellEnd"/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przechodzących przez sito </w:t>
      </w:r>
      <w:smartTag w:uri="urn:schemas-microsoft-com:office:smarttags" w:element="metricconverter">
        <w:smartTagPr>
          <w:attr w:name="ProductID" w:val="0,075 mm"/>
        </w:smartTagPr>
        <w:r w:rsidRPr="00EB5975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0,075 mm</w:t>
        </w:r>
      </w:smartTag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nie więcej niż 15%.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Decydującym sprawdzianem przydatności gruntu do stabilizacji cementem są wyniki wytrzymałości na ściskanie próbek gruntu stabilizowanego cementem.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2.4. Kruszywa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stabilizacji cementem można stosować piaski, mieszanki i żwiry albo mieszankę tych kruszyw, spełniające wymagania podane w tablicy 3.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Kruszywo można uznać za przydatne do stabilizacji cementem wtedy, gdy wyniki badań laboratoryjnych wykażą, że wytrzymałość na ściskanie i mrozoodporność próbek kruszywa stabilizowanego będą  zgodne z wymaganiami określonymi w p. 2.7 tablica 4.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EB5975" w:rsidRPr="00EB5975" w:rsidRDefault="00EB5975" w:rsidP="00EB59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Tablica 3. Wymagania dla kruszyw przeznaczonych do stabilizacji cementem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528"/>
        <w:gridCol w:w="1107"/>
        <w:gridCol w:w="2011"/>
      </w:tblGrid>
      <w:tr w:rsidR="00EB5975" w:rsidRPr="00EB5975" w:rsidTr="00FC4B0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według</w:t>
            </w:r>
          </w:p>
        </w:tc>
      </w:tr>
      <w:tr w:rsidR="00FC4B08" w:rsidRPr="00EB5975" w:rsidTr="00FC4B08">
        <w:trPr>
          <w:trHeight w:val="645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C4B08" w:rsidRPr="00EB5975" w:rsidRDefault="00FC4B08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FC4B08" w:rsidRPr="00EB5975" w:rsidRDefault="00FC4B08" w:rsidP="00EB597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Uziarnienie</w:t>
            </w:r>
          </w:p>
          <w:p w:rsidR="00FC4B08" w:rsidRPr="00EB5975" w:rsidRDefault="00FC4B08" w:rsidP="00EB597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ziarn</w:t>
            </w:r>
            <w:proofErr w:type="spellEnd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pozostających na sicie  # </w:t>
            </w:r>
            <w:smartTag w:uri="urn:schemas-microsoft-com:office:smarttags" w:element="metricconverter">
              <w:smartTagPr>
                <w:attr w:name="ProductID" w:val="2 mm"/>
              </w:smartTagPr>
              <w:r w:rsidRPr="00EB5975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2 mm</w:t>
              </w:r>
            </w:smartTag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%, nie mniej niż:</w:t>
            </w:r>
          </w:p>
        </w:tc>
        <w:tc>
          <w:tcPr>
            <w:tcW w:w="1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vAlign w:val="center"/>
          </w:tcPr>
          <w:p w:rsidR="00FC4B08" w:rsidRPr="00EB5975" w:rsidRDefault="00FC4B08" w:rsidP="00FC4B0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30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FC4B08" w:rsidRPr="00EB5975" w:rsidRDefault="00FC4B08" w:rsidP="00FC4B0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PN-B-06714-15 [4]</w:t>
            </w:r>
          </w:p>
        </w:tc>
      </w:tr>
      <w:tr w:rsidR="00FC4B08" w:rsidRPr="00EB5975" w:rsidTr="00FC4B08">
        <w:trPr>
          <w:trHeight w:val="5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4B08" w:rsidRPr="00EB5975" w:rsidRDefault="00FC4B08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B08" w:rsidRPr="00EB5975" w:rsidRDefault="00FC4B08" w:rsidP="00FC4B0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ziarn</w:t>
            </w:r>
            <w:proofErr w:type="spellEnd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przechodzących przez sito </w:t>
            </w:r>
            <w:smartTag w:uri="urn:schemas-microsoft-com:office:smarttags" w:element="metricconverter">
              <w:smartTagPr>
                <w:attr w:name="ProductID" w:val="0,075 mm"/>
              </w:smartTagPr>
              <w:r w:rsidRPr="00EB5975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0,075 mm</w:t>
              </w:r>
            </w:smartTag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 %, nie więcej niż: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FC4B08" w:rsidRPr="00EB5975" w:rsidRDefault="00FC4B08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01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FC4B08" w:rsidRPr="00EB5975" w:rsidRDefault="00FC4B08" w:rsidP="00EB5975">
            <w:pPr>
              <w:overflowPunct w:val="0"/>
              <w:autoSpaceDE w:val="0"/>
              <w:autoSpaceDN w:val="0"/>
              <w:adjustRightInd w:val="0"/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B5975" w:rsidRPr="00EB5975" w:rsidTr="00FC4B08"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części organicznych, barwa cieczy nad kruszywem nie ciemniejsza niż: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FC4B0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wzorcowa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FC4B0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PN-B-06714-26 [5]</w:t>
            </w:r>
          </w:p>
        </w:tc>
      </w:tr>
      <w:tr w:rsidR="00EB5975" w:rsidRPr="00EB5975" w:rsidTr="00FC4B0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zanieczyszczeń obcych, %, nie więcej niż: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FC4B0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FC4B0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PN-B-06714-12 [3]</w:t>
            </w:r>
          </w:p>
        </w:tc>
      </w:tr>
      <w:tr w:rsidR="00EB5975" w:rsidRPr="00EB5975" w:rsidTr="00FC4B0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FC4B0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siarczanów, w przeliczeniu na SO</w:t>
            </w: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3</w:t>
            </w: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%, poniżej: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B5975" w:rsidRPr="00EB5975" w:rsidRDefault="00EB5975" w:rsidP="00FC4B0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B5975" w:rsidRPr="00EB5975" w:rsidRDefault="00EB5975" w:rsidP="00FC4B0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PN-B-06714-28 [6]</w:t>
            </w:r>
          </w:p>
        </w:tc>
      </w:tr>
    </w:tbl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  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kruszywo przeznaczone do wykonania warstwy nie jest wbudowane bezpośrednio po d</w:t>
      </w:r>
      <w:r w:rsidR="00FC4B08">
        <w:rPr>
          <w:rFonts w:ascii="Times New Roman" w:eastAsia="Times New Roman" w:hAnsi="Times New Roman" w:cs="Times New Roman"/>
          <w:sz w:val="20"/>
          <w:szCs w:val="20"/>
          <w:lang w:eastAsia="pl-PL"/>
        </w:rPr>
        <w:t>ost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arczeniu na budowę i zachodzi potrzeba jego okresowego składowania na terenie budowy, to powinno być ono składowane w pryzmach, na utwardzonym i dobrze odwodnionym placu, w warunkach zabezpieczających przed zanieczyszczeniem i przed wymieszaniem różnych rodzajów kruszyw.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2.5. Woda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Woda stosowana do stabilizacji gruntu lub kruszywa cementem i ewentualnie do pielęgnacji wykonanej warstwy powinna odpowiadać wymaganiom PN-B-32250 [13]. Bez badań laboratoryjnych można stosować wodociągową wodę pitną. Gdy woda pochodzi z wątpliwych źródeł nie może być użyta do momentu jej przebadania, zgodnie z wyżej podaną normą lub do momentu porównania wyników wytrzymałości na ściskanie próbek gruntowo-cementowych wykonanych z wodą wątpliwą i z wodą wodociągową. Brak różnic potwierdza przydatność wody do stabilizacji gruntu lub kruszywa cementem.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2.6. Dodatki ulepszające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stabilizacji gruntów cementem, w przypadkach uzasadnionych, stosuje się następujące dodatki ulepszające:</w:t>
      </w:r>
    </w:p>
    <w:p w:rsidR="00EB5975" w:rsidRPr="00EB5975" w:rsidRDefault="00EB5975" w:rsidP="00EB59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EB5975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wapno wg PN-B-30020 [12],</w:t>
      </w:r>
    </w:p>
    <w:p w:rsidR="00EB5975" w:rsidRPr="00EB5975" w:rsidRDefault="00EB5975" w:rsidP="00EB59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EB5975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popioły lotne wg PN-S-96035 [18],</w:t>
      </w:r>
    </w:p>
    <w:p w:rsidR="00EB5975" w:rsidRPr="00EB5975" w:rsidRDefault="00EB5975" w:rsidP="00EB59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EB5975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chlorek wapniowy wg PN-C-84127 [15].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Za zgodą 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mogą być stosowane inne dodatki o sprawdzonym działaniu, posiadające aprobatę techniczną wydaną przez uprawnioną jednostkę.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2.7. Grunt lub kruszywo stabilizowane cementem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zależności od rodzaju warstwy w konstrukcji nawierzchni drogowej, wytrzymałość gruntu lub kruszywa stabilizowanego cementem wg PN-S-96012 [17], powinna spełniać wymagania określone w tablicy 4.</w:t>
      </w:r>
    </w:p>
    <w:p w:rsidR="00EB5975" w:rsidRPr="00EB5975" w:rsidRDefault="00EB5975" w:rsidP="00EB597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4. Wymagania dla gruntów lub kruszyw stabilizowanych cementem dla poszczególnych warstw podbudowy i ulepszonego podłoża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536"/>
        <w:gridCol w:w="1275"/>
        <w:gridCol w:w="1276"/>
        <w:gridCol w:w="1559"/>
      </w:tblGrid>
      <w:tr w:rsidR="00924795" w:rsidRPr="00EB5975" w:rsidTr="00FC4B0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924795" w:rsidRPr="00EB5975" w:rsidRDefault="00924795" w:rsidP="00EB597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924795" w:rsidRPr="00EB5975" w:rsidRDefault="0092479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</w:tcPr>
          <w:p w:rsidR="00924795" w:rsidRPr="00EB5975" w:rsidRDefault="00924795" w:rsidP="00EB597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warstwy w konstrukcji</w:t>
            </w:r>
          </w:p>
          <w:p w:rsidR="00924795" w:rsidRPr="00EB5975" w:rsidRDefault="0092479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nawierzchni drogowej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:rsidR="00924795" w:rsidRPr="00EB5975" w:rsidRDefault="0092479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Wytrzymałość na ściskanie próbek nasyconych wodą (</w:t>
            </w:r>
            <w:proofErr w:type="spellStart"/>
            <w:r w:rsidRPr="00EB5975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MPa</w:t>
            </w:r>
            <w:proofErr w:type="spellEnd"/>
            <w:r w:rsidRPr="00EB5975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</w:tcPr>
          <w:p w:rsidR="00924795" w:rsidRDefault="0092479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Wskaźnik </w:t>
            </w:r>
            <w:proofErr w:type="spellStart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mrozo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  <w:p w:rsidR="00924795" w:rsidRPr="00EB5975" w:rsidRDefault="00924795" w:rsidP="0092479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odporności</w:t>
            </w:r>
          </w:p>
        </w:tc>
      </w:tr>
      <w:tr w:rsidR="00924795" w:rsidRPr="00EB5975" w:rsidTr="00FC4B08"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</w:tcPr>
          <w:p w:rsidR="00924795" w:rsidRPr="00EB5975" w:rsidRDefault="0092479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924795" w:rsidRPr="00EB5975" w:rsidRDefault="0092479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</w:tcPr>
          <w:p w:rsidR="00924795" w:rsidRPr="00EB5975" w:rsidRDefault="0092479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 7 dniach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924795" w:rsidRPr="00EB5975" w:rsidRDefault="0092479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 28 dniach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924795" w:rsidRPr="00EB5975" w:rsidRDefault="0092479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B5975" w:rsidRPr="00EB5975" w:rsidTr="00FC4B0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Podbudowa zasadnicza dla KR1 lub podbudowa pomocnicza dla KR2 do KR6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1,6</w:t>
            </w:r>
          </w:p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2,2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2,5</w:t>
            </w:r>
          </w:p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5,0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18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0,7</w:t>
            </w:r>
          </w:p>
        </w:tc>
      </w:tr>
      <w:tr w:rsidR="00EB5975" w:rsidRPr="00EB5975" w:rsidTr="00FC4B0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Górna część warstwy ulepszonego podłoża gruntowego o grubości co najmniej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EB5975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10 cm</w:t>
              </w:r>
            </w:smartTag>
            <w:r w:rsidR="00FC4B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KR5 i </w:t>
            </w: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KR6 lub górna część warstwy ulepszenia słabego podłoża z gruntów wątpliwych oraz </w:t>
            </w:r>
            <w:proofErr w:type="spellStart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wysadzinowych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B5975" w:rsidRPr="00EB5975" w:rsidRDefault="00EB5975" w:rsidP="00EB597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1,0</w:t>
            </w:r>
          </w:p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B5975" w:rsidRPr="00EB5975" w:rsidRDefault="00EB5975" w:rsidP="00EB597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1,5</w:t>
            </w:r>
          </w:p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2,5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</w:t>
            </w:r>
          </w:p>
        </w:tc>
      </w:tr>
      <w:tr w:rsidR="00EB5975" w:rsidRPr="00EB5975" w:rsidTr="00FC4B0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Dolna część warstwy ulepszonego podłoża gruntowego w przypadku posadowienia konstrukcji nawierzchni na podłożu z gruntów wątpliwych i </w:t>
            </w:r>
            <w:proofErr w:type="spellStart"/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wysadzinowych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B5975" w:rsidRPr="00EB5975" w:rsidRDefault="00EB5975" w:rsidP="00EB597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0,5</w:t>
            </w:r>
          </w:p>
          <w:p w:rsidR="00EB5975" w:rsidRPr="00EB5975" w:rsidRDefault="00EB5975" w:rsidP="00EB5975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1,5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B5975" w:rsidRPr="00EB5975" w:rsidRDefault="00EB5975" w:rsidP="00FC4B0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0,6</w:t>
            </w:r>
          </w:p>
        </w:tc>
      </w:tr>
    </w:tbl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EB5975" w:rsidRPr="00EB5975" w:rsidRDefault="00EB5975" w:rsidP="00EB5975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3. sprzęt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Wymagania dotyczące sprzętu podano w SST D-04.05.00  „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Podbudowy i ulepszone podłoże z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gruntów lub kruszyw stabilizowanych spoiwami hydraulicznymi. Wymagania ogólne” pkt 3.</w:t>
      </w:r>
    </w:p>
    <w:p w:rsidR="00EB5975" w:rsidRPr="00EB5975" w:rsidRDefault="00EB5975" w:rsidP="00EB5975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4. transport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Wymagania dotyczące transportu podano w SST D-04.05.00 „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Podbudowy i ulepszone podłoże z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gruntów lub kruszyw stabilizowanych spoiwami hydraulicznymi. Wymagania ogólne” pkt 4.</w:t>
      </w:r>
    </w:p>
    <w:p w:rsidR="00EB5975" w:rsidRPr="00EB5975" w:rsidRDefault="00EB5975" w:rsidP="00EB5975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5. wykonanie robót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5.1. Ogólne zasady wykonania robót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wykonania robót podano w SST D-04.05.00 „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Podbudowy i ulepszone podłoże z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gruntów lub kruszyw stabilizowanych spoiwami hydraulicznymi. Wymagania ogólne” pkt 5.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5.2. Warunki przystąpienia do robót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Podbudowa z gruntu lub kruszywa stabilizowanego cementem nie może być wykonywana wtedy, gdy podłoże jest zamarznięte i podczas opadów deszczu. Nie należy rozpoczynać stabilizacji gruntu lub kruszywa cementem, jeżeli prognozy meteorologiczne wskazują na możliwy spadek temperatury poniżej 5</w:t>
      </w:r>
      <w:r w:rsidRPr="00EB597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C w czasie najbliższych 7 dni.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5.3. Przygotowanie podłoża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Podłoże powinno być przygotowane zgodnie z wymaganiami określonymi w S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ST D-04.05.00 „Podbudowy i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ulepszone podłoże z gruntów lub kruszyw stabilizowanych spoiwami hydraulicznymi. Wymagania ogólne” pkt 5.2.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5.4. Skład mieszanki cementowo-gruntowej i cementowo - kruszywowej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Zawartość cementu w mieszance nie może przekraczać wartości podanych w tablicy 5. Zaleca się taki dobór mieszanki, aby spełnić wymagania wytrzymałościowe określone w p. 2.7 tablica 4, przy jak najmniejszej zawartości cementu.</w:t>
      </w:r>
    </w:p>
    <w:p w:rsidR="00EB5975" w:rsidRPr="00EB5975" w:rsidRDefault="00EB5975" w:rsidP="00EB597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Tablica 5. Maksymalna zawartość cementu w mieszance cementowo-gruntowej lub w mieszance kruszywa stabilizowanego cementem dla poszczególnych warstw podbudowy i ulepszonego podłoża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2127"/>
        <w:gridCol w:w="2268"/>
        <w:gridCol w:w="2409"/>
      </w:tblGrid>
      <w:tr w:rsidR="00EB5975" w:rsidRPr="00EB5975" w:rsidTr="00FC4B0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EB5975" w:rsidRPr="00EB5975" w:rsidRDefault="00EB5975" w:rsidP="00EB597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nil"/>
              <w:right w:val="nil"/>
            </w:tcBorders>
            <w:noWrap/>
          </w:tcPr>
          <w:p w:rsidR="00EB5975" w:rsidRPr="00EB5975" w:rsidRDefault="00EB5975" w:rsidP="00EB597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EB5975" w:rsidRPr="00EB5975" w:rsidRDefault="00EB5975" w:rsidP="00EB597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Kategoria</w:t>
            </w: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 zawartość cementu, % w stosunku do masy suchego gruntu lub kruszywa</w:t>
            </w:r>
          </w:p>
        </w:tc>
      </w:tr>
      <w:tr w:rsidR="00EB5975" w:rsidRPr="00EB5975" w:rsidTr="00FC4B08"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</w:tcPr>
          <w:p w:rsidR="00EB5975" w:rsidRPr="00EB5975" w:rsidRDefault="00EB5975" w:rsidP="00EB597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ruchu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podbudowa zasadnicza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podbudowa pomocnicza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B5975" w:rsidRPr="00EB5975" w:rsidRDefault="00FC4B08" w:rsidP="00FC4B08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B5975"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lepszone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B5975"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podłoże</w:t>
            </w:r>
          </w:p>
        </w:tc>
      </w:tr>
      <w:tr w:rsidR="00EB5975" w:rsidRPr="00EB5975" w:rsidTr="00FC4B0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EB597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 2  do  KR 6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FC4B0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FC4B0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B5975" w:rsidRPr="00EB5975" w:rsidRDefault="00EB5975" w:rsidP="00FC4B08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B59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</w:tr>
    </w:tbl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  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Zawartość wody w mieszance powinna odpowiadać wilgotności optymalnej, określonej według normalnej próby </w:t>
      </w:r>
      <w:proofErr w:type="spellStart"/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Proctora</w:t>
      </w:r>
      <w:proofErr w:type="spellEnd"/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, zgodnie z PN-B-04481 [2], z tolerancją +10%, -20% jej wartości.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Zaprojektowany skład mieszanki powinien zapewniać otrzymanie w czasie budowy właściwości gruntu lub kruszywa stabilizowanego cementem zgodnych z wymaganiami określonymi w tablicy 4.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5.5. Stabilizacja metodą mieszania na miejscu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stabilizacji gruntu metodą mieszania na miejscu można użyć specjalistycznych mieszarek wieloprzejściowych lub jednoprzejściowych albo maszyn rolniczych.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Grunt przewidziany do stabilizacji powinien być spulchniony i rozdrobniony.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 spulchnieniu gruntu należy sprawdzić jego wilgotność i w razie potrzeby ją zwiększyć w celu ułatwienia rozdrobnienia. Woda powinna być dozowana przy użyciu beczkowozów zapewniających równomierne i kontrolowane dozowanie. Wraz z wodą można dodawać do gruntu dodatki ulepszające rozpuszczalne w wodzie, np. chlorek wapniowy.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wilgotność naturalna gruntu jest większa od wilgotności optymalnej o więcej niż 10% jej wartości, grunt powinien być osuszony przez mieszanie i napowietrzanie w czasie suchej pogody.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 spulchnieniu i rozdrobnieniu gruntu należy dodać i przemieszać z gruntem dodatki ulepszające, np. wapno lub popioły lotne, w ilości określonej w recepcie laboratoryjnej, o ile ich użycie jest przewidziane w tejże recepcie.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Cement należy dodawać do rozdrobnionego i ewentualnie ulepszon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ego gruntu w ilości ustalonej w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recepcie laboratoryjnej. Cement i dodatki ulepszające powinny być dodawane przy użyciu </w:t>
      </w:r>
      <w:proofErr w:type="spellStart"/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rozsypywarek</w:t>
      </w:r>
      <w:proofErr w:type="spellEnd"/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cementu lub w inny sposób zaakceptowany przez 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Grunt powinien  być wymieszany z cementem w sposób zapewniający jednorodność na określoną głębokość, gwarantującą uzyskanie projektowanej grubości warstwy po zagęszczeniu. W przypadku wykonywania stabilizacji w prowadnicach, szczególną uwagę należy zwrócić na jednorodność wymieszania gruntu w obrębie skrajnych pasów o szerokości od 30 do </w:t>
      </w:r>
      <w:smartTag w:uri="urn:schemas-microsoft-com:office:smarttags" w:element="metricconverter">
        <w:smartTagPr>
          <w:attr w:name="ProductID" w:val="40 cm"/>
        </w:smartTagPr>
        <w:r w:rsidRPr="00EB5975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40 cm</w:t>
        </w:r>
      </w:smartTag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przyległych do prowadnic. 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 wymieszaniu gruntu z cementem należy sprawdzić wilgotność mieszanki. Jeżeli jej wilgotność jest mniejsza od optymalnej o więcej niż 20%, należy dodać odpowiednią ilość wody i mieszankę ponownie dokładnie wymieszać. Wilgotność mieszanki przed zagęszczeniem nie może różnić się od wilgotności optymalnej o więcej niż +10%, -20% jej wartości.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Czas od momentu rozłożenia cementu na gruncie do momentu zakończenia mieszania nie powinien być dłuższy od 2 godzin.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 zakończeniu mieszania należy powierzchnię warstwy wyrównać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wyprofilować do wymaganych w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dokumentacji projektowej rzędnych oraz spadków poprzecznych i podłużnych. Do tego celu należy użyć równiarek i wykorzystać prowadnice podłużne, układane każdorazowo na odcinku roboczym. Od użycia prowadnic można odstąpić przy zastosowaniu specjalistycznych mieszarek i technologii gwarantującej odpowiednią równość warstwy, po uzyskaniu zgody 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. Po wyprofilowaniu należy natychmiast przystąpić do zagęszczania warstwy. Zagęszczenie należy przeprowadzić w sposób określony w p. 5.8.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5.6. Stabilizacja metodą mieszania w mieszarkach stacjonarnych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Składniki mieszanki i w razie potrzeby dodatki ulepszające, powinny być dozowane w ilości określonej w recepcie laboratoryjnej. Mieszarka stacjonarna powinna być wyposażona w urządzenia do wagowego dozowania kruszywa lub gruntu i cementu oraz objętościowego dozowania wody.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Czas mieszania w mieszarkach cyklicznych nie powinien być krótszy od 1 minuty, o ile krótszy czas mieszania nie zostanie dozwolony przez 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 wstępnych próbach. W mieszarkach typu ciągłego prędkość podawania materiałów powinna być ustalona i na bieżąco kontrolowana w taki sposób, aby zapewnić jednorodność mieszanki.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Wilgotność mieszanki powinna odpowiadać wilgotności optymalnej z tolerancją +10% i -20% jej wartości.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ułożeniem mieszanki należy ustawić prowadnice i podłoże zwilżyć wodą.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Mieszanka dowieziona z wytwórni powinna być układana przy pomocy układarek lub równiarek. Grubość układania mieszanki powinna być taka, aby zapewnić uzyskanie wymaganej grubości warstwy po zagęszczeniu.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zagęszczeniem warstwa powinna być wyprofilowana do wymaganych rzędnych, spadków podłużnych i poprzecznych. Przy użyciu równiarek do rozkładania mieszanki n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ależy wykorzystać prowadnice, w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celu uzyskania odpowiedniej równości profilu warstwy. Od użycia prowadnic można odstąpić przy zastosowaniu technologii gwarantującej odpowiednią równość warstwy, po uzyskaniu zgody 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Nadzoru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. Po wyprofilowaniu należy natychmiast przystąpić do zagęszczania warstwy.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5.7. Grubość warstwy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Orientacyjna grubość poszczególnych warstw podbudowy z gruntu lub kruszywa stabilizowanego cementem nie powinna przekraczać:</w:t>
      </w:r>
    </w:p>
    <w:p w:rsidR="00EB5975" w:rsidRPr="00EB5975" w:rsidRDefault="00EB5975" w:rsidP="00EB59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EB5975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smartTag w:uri="urn:schemas-microsoft-com:office:smarttags" w:element="metricconverter">
        <w:smartTagPr>
          <w:attr w:name="ProductID" w:val="15 cm"/>
        </w:smartTagPr>
        <w:r w:rsidRPr="00EB5975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15 cm</w:t>
        </w:r>
      </w:smartTag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przy mieszaniu na miejscu sprzętem rolniczym,</w:t>
      </w:r>
    </w:p>
    <w:p w:rsidR="00EB5975" w:rsidRPr="00EB5975" w:rsidRDefault="00EB5975" w:rsidP="00EB59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EB5975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smartTag w:uri="urn:schemas-microsoft-com:office:smarttags" w:element="metricconverter">
        <w:smartTagPr>
          <w:attr w:name="ProductID" w:val="18 cm"/>
        </w:smartTagPr>
        <w:r w:rsidRPr="00EB5975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18 cm</w:t>
        </w:r>
      </w:smartTag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przy mieszaniu na miejscu sprzętem specjalistycznym,</w:t>
      </w:r>
    </w:p>
    <w:p w:rsidR="00EB5975" w:rsidRPr="00EB5975" w:rsidRDefault="00EB5975" w:rsidP="00EB59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EB5975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smartTag w:uri="urn:schemas-microsoft-com:office:smarttags" w:element="metricconverter">
        <w:smartTagPr>
          <w:attr w:name="ProductID" w:val="22 cm"/>
        </w:smartTagPr>
        <w:r w:rsidRPr="00EB5975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22 cm</w:t>
        </w:r>
      </w:smartTag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przy mieszaniu w mieszarce stacjonarnej.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projektowana grubość warstwy podbudowy jest większa od maksymalnej, to stabilizację należy wykonywać w dwóch warstwach.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stabilizacja będzie wykonywana w dwóch lub więcej warstwach, to tylko najniżej położona warstwa może być wykonana przy zastosowaniu technologii mieszania na miejscu. Wszystkie warstwy leżące wyżej powinny być wykonywane według metody mieszania w mieszarkach stacjonarnych.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Warstwy podbudowy zasadniczej powinny być wykonywane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według technologii mieszania w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mieszarkach stacjonarnych.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5.8. Zagęszczanie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Zagęszczanie warstwy gruntu lub kruszywa stabilizowanego cementem należy prowadzić przy użyciu walców gładkich, wibracyjnych lub ogumionych, w zestawie wskazanym w SST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Zagęszczanie podbudowy oraz ulepszonego podłoża o przekroju daszkowym powinno rozpocząć się od krawędzi i przesuwać pasami podłużnymi, częściowo nakładającymi się w stronę osi jezdni. Zagęszczenie warstwy o jednostronnym spadku poprzecznym powinno rozpocząć się od niżej położonej krawędzi i przesuwać pasami podłużnymi, częściowo nakładającymi się, w stronę wyżej położonej krawędzi. Pojawiające się w czasie zagęszczania zaniżenia, ubytki, rozwarstwienia i podobne wady, muszą być natychmiast naprawiane przez wymianę mieszanki  na pełną głębokość, wyrównanie i ponowne zagęszczenie. Powierzchnia zagęszczonej warstwy powinna mieć prawidłowy przekrój poprzeczny i jednolity wygląd.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przypadku technologii mieszania w mieszarkach stacjonarnych operacje zagęszczania i obróbki powierzchniowej muszą być zakończone przed upływem dwóch godzin od chwili dodania wody do mieszanki.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przypadku technologii mieszania na miejscu, operacje zagęszczania i obróbki powierzchniowej muszą być zakończone nie później niż w ciągu 5 godzin, licząc od momentu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rozpoczęcia mieszania gruntu z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cementem.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Zagęszczanie należy kontynuować do osiągnięcia wskaźnika zagęszczenia mieszanki określonego wg BN-77/8931-12 [25] nie mniejszego od podanego w PN-S-96012 [17] i SST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Specjalną uwagę należy poświęcić zagęszczeniu mieszanki w sąsiedztw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ie spoin roboczych podłużnych i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poprzecznych oraz wszelkich urządzeń obcych.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Wszelkie miejsca luźne, rozsegregowane, spękane podczas zagęszczania lub w inny sposób wadliwe, muszą być naprawione przez zerwanie warstwy na pełną grubość, wbudowanie nowej mieszanki o odpowiednim składzie i ponowne zagęszczenie. Roboty te są wykonywane na koszt Wykonawcy.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5.9. Spoiny robocze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miarę możliwości należy unikać podłużnych spoin roboczych, poprzez wykonanie warstwy na całej szerokości.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Jeśli jest to niemożliwe, przy warstwie wykonywanej w prowadnicach, przed wykonaniem kolejnego pasa  należy pionową krawędź wykonanego pasa zwilżyć wodą. Przy war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stwie wykonanej bez prowadnic w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ułożonej i zagęszczonej mieszance, należy niezwłocznie obciąć pionową krawędź. Po zwilżeniu jej wodą 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należy wbudować kolejny pas. W podobny sposób należy wykonać poprzeczną spoinę roboczą na połączeniu działek roboczych. Od obcięcia pionowej krawędzi w wykonanej mieszance można odstąpić wtedy, gdy czas pomiędzy zakończeniem zagęszczania jednego pasa, a rozpoczęciem wbudowania sąsiedniego pasa, nie przekracza 60 minut.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Jeżeli w niżej położonej warstwie występują spoiny robocze, to spoiny w warstwie leżącej wyżej powinny być względem nich przesunięte o co najmniej </w:t>
      </w:r>
      <w:smartTag w:uri="urn:schemas-microsoft-com:office:smarttags" w:element="metricconverter">
        <w:smartTagPr>
          <w:attr w:name="ProductID" w:val="30 cm"/>
        </w:smartTagPr>
        <w:r w:rsidRPr="00EB5975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30 cm</w:t>
        </w:r>
      </w:smartTag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dla spoiny podłużnej i </w:t>
      </w:r>
      <w:smartTag w:uri="urn:schemas-microsoft-com:office:smarttags" w:element="metricconverter">
        <w:smartTagPr>
          <w:attr w:name="ProductID" w:val="1 m"/>
        </w:smartTagPr>
        <w:r w:rsidRPr="00EB5975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</w:t>
        </w:r>
      </w:smartTag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dla spoiny poprzecznej.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5.10. Pielęgnacja warstwy z gruntu lub kruszywa stabilizowanego cementem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Zasady pielęgnacji warstwy gruntu lub kruszywa stabilizowanego cementem podano w SST D-04.05.00      „Podbudowy i ulepszone podłoże z gruntów lub kruszyw stabilizowanych spoiwami hydraulicznymi. Wymagania ogólne” pkt 5.5.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5.11. Odcinek próbny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 ile przewidziano to w SST, Wykonawca powinien wykonać odcinek próbny, zgodnie z zasadami określonymi w SST D-04.05.00 „Podbudowy i ulepszone podłoże z gruntów lub kruszyw stabilizowanych spoiwami hydraulicznymi. Wymagania ogólne” pkt 5.3.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5.12. Utrzymanie podbudowy i ulepszonego podłoża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Podbudowa i ulepszone podłoże powinny być utrzymywane przez Wykonawcę zgodnie z zasadami określonymi w SST D-04.05.00 „Podbudowy i ulepszone podłoże z gruntów lub kruszyw stabilizowanych spoiwami hydraulicznymi. Wymagania ogólne” pkt 5.4.</w:t>
      </w:r>
    </w:p>
    <w:p w:rsidR="00EB5975" w:rsidRPr="00EB5975" w:rsidRDefault="00EB5975" w:rsidP="00EB5975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6. kontrola jakości robót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6.1. Ogólne zasady kontroli jakości robót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SST D-04.05.00 „</w:t>
      </w:r>
      <w:r w:rsidR="00FC4B08">
        <w:rPr>
          <w:rFonts w:ascii="Times New Roman" w:eastAsia="Times New Roman" w:hAnsi="Times New Roman" w:cs="Times New Roman"/>
          <w:sz w:val="20"/>
          <w:szCs w:val="20"/>
          <w:lang w:eastAsia="pl-PL"/>
        </w:rPr>
        <w:t>Podbudowy i ulepszone podłoże z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gruntów lub kruszyw stabilizowanych spoiwami hydraulicznymi. Wymagania ogólne” pkt 6.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6.2. Badania przed przystąpieniem do robót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 wykonać badani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>a gruntów lub kruszyw zgodnie z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ustaleniami SST D-04.05.00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„Podbudowy i ulepszone podłoże z gruntów lub kruszyw stabilizowanych spoiwami hydraulicznymi. Wymagania ogólne” pkt 6.2.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6.3. Badania w czasie robót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i pomiarów kontrolnych w czasie robót podano w SST D-04.05.00      „Podbudowy i ulepszone podłoże z gruntów lub kruszyw stabilizowanych spoiwami hydraulicznymi. Wymagania ogólne” pkt 6.3.</w:t>
      </w:r>
    </w:p>
    <w:p w:rsidR="00EB5975" w:rsidRPr="00EB5975" w:rsidRDefault="00EB5975" w:rsidP="00EB5975">
      <w:pPr>
        <w:keepNext/>
        <w:keepLines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6.4. Wymagania dotyczące cech geometrycznych podbudowy i ulepszonego podłoża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Wymagania dotyczące cech geometrycznych podbudowy i ulepszonego podłoża podano w SST D</w:t>
      </w:r>
      <w:r w:rsidR="00FC4B08">
        <w:rPr>
          <w:rFonts w:ascii="Times New Roman" w:eastAsia="Times New Roman" w:hAnsi="Times New Roman" w:cs="Times New Roman"/>
          <w:sz w:val="20"/>
          <w:szCs w:val="20"/>
          <w:lang w:eastAsia="pl-PL"/>
        </w:rPr>
        <w:noBreakHyphen/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04.05.00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„Podbudowy i ulepszone podłoże z gruntów lub kruszyw stabilizowanych spoiwami hydraulicznymi. Wymagania ogólne”  pkt 6.4.</w:t>
      </w:r>
    </w:p>
    <w:p w:rsidR="00EB5975" w:rsidRPr="00EB5975" w:rsidRDefault="00924795" w:rsidP="00924795">
      <w:pPr>
        <w:keepNext/>
        <w:keepLines/>
        <w:spacing w:before="240" w:after="0" w:line="240" w:lineRule="auto"/>
        <w:ind w:left="567" w:hanging="425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6.5. </w:t>
      </w:r>
      <w:r w:rsidR="00EB5975"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Zasady postępowania z wadliwie w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ykonanymi odcinkami podbudowy i </w:t>
      </w:r>
      <w:r w:rsidR="00EB5975" w:rsidRPr="00EB59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ulepszonego podłoża</w:t>
      </w:r>
    </w:p>
    <w:p w:rsidR="00EB5975" w:rsidRPr="00EB5975" w:rsidRDefault="00EB5975" w:rsidP="00EB597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Zasady postępowania z wadliwie wykonanymi odcinkami podbudowy</w:t>
      </w:r>
      <w:r w:rsidR="0092479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ulepszonego podłoża podano w </w:t>
      </w: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>SST D-04.05.00 „Podbudowy i ulepszone podłoże z gruntów lub kruszyw stabilizowanych spoiwami hydraulicznymi. Wymagania ogólne” pkt 6.5.</w:t>
      </w:r>
    </w:p>
    <w:p w:rsidR="00EB5975" w:rsidRPr="00EB5975" w:rsidRDefault="00EB5975" w:rsidP="00EB5975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7. obmiar robót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Zasady obmiaru robót podano w SST D-04.05.00 „Podbudowy i ulepszone podłoże z gruntów lub kruszyw stabilizowanych spoiwami hydraulicznymi. Wymagania ogólne”  pkt 7.</w:t>
      </w:r>
    </w:p>
    <w:p w:rsidR="00EB5975" w:rsidRPr="00EB5975" w:rsidRDefault="00EB5975" w:rsidP="00EB5975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lastRenderedPageBreak/>
        <w:t>8. odbiór robót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Zasady odbioru robót podano w SST D-04.05.00 „Podbudowy i ulepszone podłoże z gruntów lub kruszyw stabilizowanych spoiwami hydraulicznymi. Wymagania ogólne”  pkt 8.</w:t>
      </w:r>
    </w:p>
    <w:p w:rsidR="00EB5975" w:rsidRPr="00EB5975" w:rsidRDefault="00EB5975" w:rsidP="00EB5975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9. podstawa płatności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Zasady dotyczące ustalenia podstawy płatności podano w SST D-04.05.00 „Podbudowy i ulepszone podłoże z gruntów lub kruszyw stabilizowanych spoiwami hydraulicznymi. Wymagania ogólne”  pkt 9.</w:t>
      </w:r>
    </w:p>
    <w:p w:rsidR="00EB5975" w:rsidRPr="00EB5975" w:rsidRDefault="00EB5975" w:rsidP="00EB5975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pl-PL"/>
        </w:rPr>
        <w:t>10. przepisy związane</w:t>
      </w:r>
    </w:p>
    <w:p w:rsidR="00EB5975" w:rsidRPr="00EB5975" w:rsidRDefault="00EB5975" w:rsidP="00EB597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59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Normy i przepisy związane podano w SST D-04.05.00 „Podbudowy i ulepszone podłoże z gruntów lub kruszyw stabilizowanych spoiwami hydraulicznymi. Wymagania ogólne”  pkt 10</w:t>
      </w:r>
      <w:r w:rsidR="00FC4B0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0B3B2E" w:rsidRDefault="000B3B2E"/>
    <w:sectPr w:rsidR="000B3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D54064"/>
    <w:multiLevelType w:val="singleLevel"/>
    <w:tmpl w:val="19CE5E8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975"/>
    <w:rsid w:val="000B3B2E"/>
    <w:rsid w:val="00924795"/>
    <w:rsid w:val="00E3756D"/>
    <w:rsid w:val="00EB5975"/>
    <w:rsid w:val="00FC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D740FF2-AA58-4ED5-B32D-937275792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3223</Words>
  <Characters>19343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Milczanowski Jacek</dc:creator>
  <cp:lastModifiedBy>Jacek</cp:lastModifiedBy>
  <cp:revision>2</cp:revision>
  <dcterms:created xsi:type="dcterms:W3CDTF">2017-09-14T17:08:00Z</dcterms:created>
  <dcterms:modified xsi:type="dcterms:W3CDTF">2017-09-14T17:08:00Z</dcterms:modified>
</cp:coreProperties>
</file>